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88D56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16"/>
          <w:szCs w:val="16"/>
        </w:rPr>
      </w:pPr>
    </w:p>
    <w:p w14:paraId="5AC2E2D3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D921FA">
        <w:rPr>
          <w:rFonts w:ascii="Arial" w:hAnsi="Arial" w:cs="Arial"/>
          <w:b/>
          <w:bCs/>
          <w:color w:val="0000FF"/>
          <w:sz w:val="20"/>
          <w:szCs w:val="20"/>
        </w:rPr>
        <w:t>ABSCHNITT 1: Bezeichnung des Stoffs beziehungsweise des Gemischs und des Unternehmens</w:t>
      </w:r>
    </w:p>
    <w:p w14:paraId="0184968B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68FF676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1.1. </w:t>
      </w:r>
      <w:proofErr w:type="spellStart"/>
      <w:r w:rsidRPr="00D921FA">
        <w:rPr>
          <w:rFonts w:ascii="Arial" w:hAnsi="Arial" w:cs="Arial"/>
          <w:color w:val="000000"/>
          <w:sz w:val="20"/>
          <w:szCs w:val="20"/>
        </w:rPr>
        <w:t>Produktidentifikator</w:t>
      </w:r>
      <w:proofErr w:type="spellEnd"/>
    </w:p>
    <w:p w14:paraId="6BEEEDE6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8297E79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Kennzeichnung der Mischung:</w:t>
      </w:r>
    </w:p>
    <w:p w14:paraId="7AE5D3C7" w14:textId="1A6D5B51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Handelsname: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674E10">
        <w:rPr>
          <w:rFonts w:ascii="Arial" w:hAnsi="Arial" w:cs="Arial"/>
          <w:color w:val="000000"/>
          <w:sz w:val="20"/>
          <w:szCs w:val="20"/>
        </w:rPr>
        <w:t>Andrepol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731D8">
        <w:rPr>
          <w:rFonts w:ascii="Arial" w:hAnsi="Arial" w:cs="Arial"/>
          <w:color w:val="000000"/>
          <w:sz w:val="20"/>
          <w:szCs w:val="20"/>
        </w:rPr>
        <w:t>Topcoa</w:t>
      </w:r>
      <w:r w:rsidR="00212B0F">
        <w:rPr>
          <w:rFonts w:ascii="Arial" w:hAnsi="Arial" w:cs="Arial"/>
          <w:color w:val="000000"/>
          <w:sz w:val="20"/>
          <w:szCs w:val="20"/>
        </w:rPr>
        <w:t>t</w:t>
      </w:r>
      <w:proofErr w:type="spellEnd"/>
      <w:r w:rsidR="00212B0F">
        <w:rPr>
          <w:rFonts w:ascii="Arial" w:hAnsi="Arial" w:cs="Arial"/>
          <w:color w:val="000000"/>
          <w:sz w:val="20"/>
          <w:szCs w:val="20"/>
        </w:rPr>
        <w:t xml:space="preserve"> P 18</w:t>
      </w:r>
    </w:p>
    <w:p w14:paraId="5DFA61BE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Handelscode: </w:t>
      </w:r>
    </w:p>
    <w:p w14:paraId="698497F4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EC654FE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1.2. Relevante identifizierte Verwendungen des Stoffs oder Gemischs und Verwendungen, von denen abgeraten wird</w:t>
      </w:r>
    </w:p>
    <w:p w14:paraId="39B75696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98188D1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Empfohlene Verwendung: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D921FA">
        <w:rPr>
          <w:rFonts w:ascii="Arial" w:hAnsi="Arial" w:cs="Arial"/>
          <w:color w:val="000000"/>
          <w:sz w:val="20"/>
          <w:szCs w:val="20"/>
        </w:rPr>
        <w:t>Hilfsmittel für gemischte Materialien</w:t>
      </w:r>
    </w:p>
    <w:p w14:paraId="096A88FB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715AA7F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1.3. Einzelheiten zum Lieferanten, der das Sicherheitsdatenblatt bereitstellt</w:t>
      </w:r>
    </w:p>
    <w:p w14:paraId="753AB582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852213A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Lieferant:</w:t>
      </w:r>
    </w:p>
    <w:p w14:paraId="31D1A894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3779DC1" w14:textId="77777777" w:rsidR="00CA15FD" w:rsidRPr="005B3821" w:rsidRDefault="00CA15FD" w:rsidP="00CA15FD">
      <w:pPr>
        <w:pStyle w:val="KeinLeerraum"/>
        <w:rPr>
          <w:lang w:val="en-GB"/>
        </w:rPr>
      </w:pPr>
      <w:r w:rsidRPr="005B3821">
        <w:rPr>
          <w:lang w:val="en-GB"/>
        </w:rPr>
        <w:t xml:space="preserve">GFK </w:t>
      </w:r>
      <w:r w:rsidRPr="005B3821">
        <w:rPr>
          <w:color w:val="CD9509"/>
          <w:lang w:val="en-GB"/>
        </w:rPr>
        <w:t>/</w:t>
      </w:r>
      <w:r w:rsidRPr="005B3821">
        <w:rPr>
          <w:color w:val="FFC000"/>
          <w:lang w:val="en-GB"/>
        </w:rPr>
        <w:t xml:space="preserve"> </w:t>
      </w:r>
      <w:r w:rsidRPr="005B3821">
        <w:rPr>
          <w:lang w:val="en-GB"/>
        </w:rPr>
        <w:t>tec GmbH</w:t>
      </w:r>
    </w:p>
    <w:p w14:paraId="5EEBBF84" w14:textId="77777777" w:rsidR="00CA15FD" w:rsidRDefault="00CA15FD" w:rsidP="00CA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Querstraße 3</w:t>
      </w:r>
    </w:p>
    <w:p w14:paraId="151F12F5" w14:textId="77777777" w:rsidR="00CA15FD" w:rsidRPr="00D921FA" w:rsidRDefault="00CA15FD" w:rsidP="00CA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37339 Leinefelde Worbis</w:t>
      </w:r>
    </w:p>
    <w:p w14:paraId="6426F8F9" w14:textId="77777777" w:rsidR="00CA15FD" w:rsidRPr="00D921FA" w:rsidRDefault="00CA15FD" w:rsidP="00CA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Tel. +</w:t>
      </w:r>
      <w:r>
        <w:rPr>
          <w:rFonts w:ascii="Arial" w:hAnsi="Arial" w:cs="Arial"/>
          <w:color w:val="000000"/>
          <w:sz w:val="20"/>
          <w:szCs w:val="20"/>
        </w:rPr>
        <w:t>49 36074 189772</w:t>
      </w:r>
    </w:p>
    <w:p w14:paraId="462A5C99" w14:textId="77777777" w:rsidR="00CA15FD" w:rsidRDefault="00CA15FD" w:rsidP="00CA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22F21E3" w14:textId="77777777" w:rsidR="00CA15FD" w:rsidRPr="00D921FA" w:rsidRDefault="00CA15FD" w:rsidP="00CA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Sachkundigen Person verantwortlich vom Sicherheitsdatenblatt:</w:t>
      </w:r>
    </w:p>
    <w:p w14:paraId="4533E62B" w14:textId="77777777" w:rsidR="00CA15FD" w:rsidRDefault="00CA15FD" w:rsidP="00CA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33B48BA" w14:textId="7311DE41" w:rsidR="00D921FA" w:rsidRDefault="00CA15FD" w:rsidP="00CA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torsten.hund@gfk-tec.de</w:t>
      </w:r>
    </w:p>
    <w:p w14:paraId="3461CB16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1.4. Notrufnummer</w:t>
      </w:r>
    </w:p>
    <w:p w14:paraId="26B8C85C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9EB4232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Toxikologische Abteilung der II. Medizinischen Klinik rechts der Isar der Technischen Universit</w:t>
      </w:r>
      <w:r>
        <w:rPr>
          <w:rFonts w:ascii="Arial" w:hAnsi="Arial" w:cs="Arial"/>
          <w:color w:val="000000"/>
          <w:sz w:val="20"/>
          <w:szCs w:val="20"/>
        </w:rPr>
        <w:t>ä</w:t>
      </w:r>
      <w:r w:rsidRPr="00D921FA">
        <w:rPr>
          <w:rFonts w:ascii="Arial" w:hAnsi="Arial" w:cs="Arial"/>
          <w:color w:val="000000"/>
          <w:sz w:val="20"/>
          <w:szCs w:val="20"/>
        </w:rPr>
        <w:t>t M</w:t>
      </w:r>
      <w:r>
        <w:rPr>
          <w:rFonts w:ascii="Arial" w:hAnsi="Arial" w:cs="Arial"/>
          <w:color w:val="000000"/>
          <w:sz w:val="20"/>
          <w:szCs w:val="20"/>
        </w:rPr>
        <w:t>ü</w:t>
      </w:r>
      <w:r w:rsidRPr="00D921FA">
        <w:rPr>
          <w:rFonts w:ascii="Arial" w:hAnsi="Arial" w:cs="Arial"/>
          <w:color w:val="000000"/>
          <w:sz w:val="20"/>
          <w:szCs w:val="20"/>
        </w:rPr>
        <w:t>nchen - M</w:t>
      </w:r>
      <w:r>
        <w:rPr>
          <w:rFonts w:ascii="Arial" w:hAnsi="Arial" w:cs="Arial"/>
          <w:color w:val="000000"/>
          <w:sz w:val="20"/>
          <w:szCs w:val="20"/>
        </w:rPr>
        <w:t>ü</w:t>
      </w:r>
      <w:r w:rsidRPr="00D921FA">
        <w:rPr>
          <w:rFonts w:ascii="Arial" w:hAnsi="Arial" w:cs="Arial"/>
          <w:color w:val="000000"/>
          <w:sz w:val="20"/>
          <w:szCs w:val="20"/>
        </w:rPr>
        <w:t>nchen - Tel. (0 89) 1 9240</w:t>
      </w:r>
    </w:p>
    <w:p w14:paraId="71574AA8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Landesberatungsstelle für Vergiftungserscheinungen und Embryonaltoxikologie - Berlin - Tel. (030) 1 92 40</w:t>
      </w:r>
    </w:p>
    <w:p w14:paraId="3CD80EB6" w14:textId="77777777" w:rsidR="001C7255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Informations- und Beratungszentrum für Vergiftungen Universitätsklinik für Kinder- und Jugendmedizin - Homburg / Saar - Tel. (0 6841) 1 92 40</w:t>
      </w:r>
    </w:p>
    <w:p w14:paraId="47B92360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48EE9C0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D921FA">
        <w:rPr>
          <w:rFonts w:ascii="Arial" w:hAnsi="Arial" w:cs="Arial"/>
          <w:b/>
          <w:bCs/>
          <w:color w:val="0000FF"/>
          <w:sz w:val="20"/>
          <w:szCs w:val="20"/>
        </w:rPr>
        <w:t>ABSCHNITT 2: Mögliche Gefahren</w:t>
      </w:r>
    </w:p>
    <w:p w14:paraId="19AA365B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31F3FF1A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2.1. Einstufung des Stoffs oder Gemischs</w:t>
      </w:r>
    </w:p>
    <w:p w14:paraId="788E4B34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5E80407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Kriterien der GHS-Richtlinie 1272/2008/EG:</w:t>
      </w:r>
    </w:p>
    <w:p w14:paraId="30EF3704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264D839" wp14:editId="11C7CD0A">
            <wp:simplePos x="0" y="0"/>
            <wp:positionH relativeFrom="margin">
              <wp:posOffset>142875</wp:posOffset>
            </wp:positionH>
            <wp:positionV relativeFrom="paragraph">
              <wp:posOffset>145415</wp:posOffset>
            </wp:positionV>
            <wp:extent cx="171450" cy="967130"/>
            <wp:effectExtent l="0" t="0" r="0" b="4445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967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1E7050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Achtung, Flam. </w:t>
      </w:r>
      <w:proofErr w:type="spellStart"/>
      <w:r w:rsidRPr="00D921FA">
        <w:rPr>
          <w:rFonts w:ascii="Arial" w:hAnsi="Arial" w:cs="Arial"/>
          <w:color w:val="000000"/>
          <w:sz w:val="20"/>
          <w:szCs w:val="20"/>
        </w:rPr>
        <w:t>Liq</w:t>
      </w:r>
      <w:proofErr w:type="spellEnd"/>
      <w:r w:rsidRPr="00D921FA">
        <w:rPr>
          <w:rFonts w:ascii="Arial" w:hAnsi="Arial" w:cs="Arial"/>
          <w:color w:val="000000"/>
          <w:sz w:val="20"/>
          <w:szCs w:val="20"/>
        </w:rPr>
        <w:t>. 3, Flüssigkeit und Dampf entzündbar.</w:t>
      </w:r>
    </w:p>
    <w:p w14:paraId="7EC7A16C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Achtung, Skin </w:t>
      </w:r>
      <w:proofErr w:type="spellStart"/>
      <w:r w:rsidRPr="00D921FA">
        <w:rPr>
          <w:rFonts w:ascii="Arial" w:hAnsi="Arial" w:cs="Arial"/>
          <w:color w:val="000000"/>
          <w:sz w:val="20"/>
          <w:szCs w:val="20"/>
        </w:rPr>
        <w:t>Irrit</w:t>
      </w:r>
      <w:proofErr w:type="spellEnd"/>
      <w:r w:rsidRPr="00D921FA">
        <w:rPr>
          <w:rFonts w:ascii="Arial" w:hAnsi="Arial" w:cs="Arial"/>
          <w:color w:val="000000"/>
          <w:sz w:val="20"/>
          <w:szCs w:val="20"/>
        </w:rPr>
        <w:t>. 2, Verursacht Hautreizungen.</w:t>
      </w:r>
    </w:p>
    <w:p w14:paraId="4B88AFCF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Achtung, Eye </w:t>
      </w:r>
      <w:proofErr w:type="spellStart"/>
      <w:r w:rsidRPr="00D921FA">
        <w:rPr>
          <w:rFonts w:ascii="Arial" w:hAnsi="Arial" w:cs="Arial"/>
          <w:color w:val="000000"/>
          <w:sz w:val="20"/>
          <w:szCs w:val="20"/>
        </w:rPr>
        <w:t>Irrit</w:t>
      </w:r>
      <w:proofErr w:type="spellEnd"/>
      <w:r w:rsidRPr="00D921FA">
        <w:rPr>
          <w:rFonts w:ascii="Arial" w:hAnsi="Arial" w:cs="Arial"/>
          <w:color w:val="000000"/>
          <w:sz w:val="20"/>
          <w:szCs w:val="20"/>
        </w:rPr>
        <w:t>. 2, Verursacht schwere Augenreizung.</w:t>
      </w:r>
    </w:p>
    <w:p w14:paraId="55CD708A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Achtung, Skin Sens. 1A, Kann allergische Hautreaktionen verursachen.</w:t>
      </w:r>
    </w:p>
    <w:p w14:paraId="45633DE4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Achtung, </w:t>
      </w:r>
      <w:proofErr w:type="spellStart"/>
      <w:r w:rsidRPr="00D921FA">
        <w:rPr>
          <w:rFonts w:ascii="Arial" w:hAnsi="Arial" w:cs="Arial"/>
          <w:color w:val="000000"/>
          <w:sz w:val="20"/>
          <w:szCs w:val="20"/>
        </w:rPr>
        <w:t>Repr</w:t>
      </w:r>
      <w:proofErr w:type="spellEnd"/>
      <w:r w:rsidRPr="00D921FA">
        <w:rPr>
          <w:rFonts w:ascii="Arial" w:hAnsi="Arial" w:cs="Arial"/>
          <w:color w:val="000000"/>
          <w:sz w:val="20"/>
          <w:szCs w:val="20"/>
        </w:rPr>
        <w:t>. 2, Kann vermutlich die Fruchtbarkeit beeinträchtigen oder das Kind im Mutterleib schädigen.</w:t>
      </w:r>
    </w:p>
    <w:p w14:paraId="0B4A32EA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Gefahr, STOT RE 1, Schädigt die Organe bei längerer oder wiederholter Exposition.</w:t>
      </w:r>
    </w:p>
    <w:p w14:paraId="389001BE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Für die menschliche Gesundheit und die Umwelt gefährliche physisch-chemische Auswirkungen:</w:t>
      </w:r>
    </w:p>
    <w:p w14:paraId="079F9B7C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Kein anderes Risiko bekannt</w:t>
      </w:r>
    </w:p>
    <w:p w14:paraId="111CA623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31E4823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2.2. Kennzeichnungselemente</w:t>
      </w:r>
    </w:p>
    <w:p w14:paraId="0BC21BC5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0AFF8C2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Gefahrenpiktogramme:</w:t>
      </w:r>
    </w:p>
    <w:p w14:paraId="69E6FA0C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D139AD0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</w:rPr>
        <w:drawing>
          <wp:inline distT="0" distB="0" distL="0" distR="0" wp14:anchorId="3911B34D" wp14:editId="7718736D">
            <wp:extent cx="1627874" cy="548639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874" cy="548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71273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Gefahr</w:t>
      </w:r>
    </w:p>
    <w:p w14:paraId="79FBAD66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7382A46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0BAA1F6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Gefahrenhinweise:</w:t>
      </w:r>
    </w:p>
    <w:p w14:paraId="22E42EBD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6E1D05E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H226 Flüssigkeit und Dampf entzündbar.</w:t>
      </w:r>
    </w:p>
    <w:p w14:paraId="40037978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H315 Verursacht Hautreizungen.</w:t>
      </w:r>
    </w:p>
    <w:p w14:paraId="6057C9D5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H319 </w:t>
      </w:r>
      <w:proofErr w:type="gramStart"/>
      <w:r w:rsidRPr="00D921FA">
        <w:rPr>
          <w:rFonts w:ascii="Arial" w:hAnsi="Arial" w:cs="Arial"/>
          <w:color w:val="000000"/>
          <w:sz w:val="20"/>
          <w:szCs w:val="20"/>
        </w:rPr>
        <w:t>Verursacht</w:t>
      </w:r>
      <w:proofErr w:type="gramEnd"/>
      <w:r w:rsidRPr="00D921FA">
        <w:rPr>
          <w:rFonts w:ascii="Arial" w:hAnsi="Arial" w:cs="Arial"/>
          <w:color w:val="000000"/>
          <w:sz w:val="20"/>
          <w:szCs w:val="20"/>
        </w:rPr>
        <w:t xml:space="preserve"> schwere Augenreizung.</w:t>
      </w:r>
    </w:p>
    <w:p w14:paraId="22E6D708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H317 </w:t>
      </w:r>
      <w:proofErr w:type="gramStart"/>
      <w:r w:rsidRPr="00D921FA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D921FA">
        <w:rPr>
          <w:rFonts w:ascii="Arial" w:hAnsi="Arial" w:cs="Arial"/>
          <w:color w:val="000000"/>
          <w:sz w:val="20"/>
          <w:szCs w:val="20"/>
        </w:rPr>
        <w:t xml:space="preserve"> allergische Hautreaktionen verursachen.</w:t>
      </w:r>
    </w:p>
    <w:p w14:paraId="0CD421E8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H361 </w:t>
      </w:r>
      <w:proofErr w:type="gramStart"/>
      <w:r w:rsidRPr="00D921FA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D921FA">
        <w:rPr>
          <w:rFonts w:ascii="Arial" w:hAnsi="Arial" w:cs="Arial"/>
          <w:color w:val="000000"/>
          <w:sz w:val="20"/>
          <w:szCs w:val="20"/>
        </w:rPr>
        <w:t xml:space="preserve"> vermutlich die Fruchtbarkeit beeinträchtigen oder das Kind im Mutterleib schädigen.</w:t>
      </w:r>
    </w:p>
    <w:p w14:paraId="41256625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H372 </w:t>
      </w:r>
      <w:proofErr w:type="gramStart"/>
      <w:r w:rsidRPr="00D921FA">
        <w:rPr>
          <w:rFonts w:ascii="Arial" w:hAnsi="Arial" w:cs="Arial"/>
          <w:color w:val="000000"/>
          <w:sz w:val="20"/>
          <w:szCs w:val="20"/>
        </w:rPr>
        <w:t>Schädigt</w:t>
      </w:r>
      <w:proofErr w:type="gramEnd"/>
      <w:r w:rsidRPr="00D921FA">
        <w:rPr>
          <w:rFonts w:ascii="Arial" w:hAnsi="Arial" w:cs="Arial"/>
          <w:color w:val="000000"/>
          <w:sz w:val="20"/>
          <w:szCs w:val="20"/>
        </w:rPr>
        <w:t xml:space="preserve"> die Organe bei längerer oder wiederholter Exposition.</w:t>
      </w:r>
    </w:p>
    <w:p w14:paraId="52CC815E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A8BCA85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Sicherheitshinweise:</w:t>
      </w:r>
    </w:p>
    <w:p w14:paraId="2FE4FBDA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E9EA21F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P202 Vor Gebrauch alle Sicherheitshinweise lesen und verstehen.</w:t>
      </w:r>
    </w:p>
    <w:p w14:paraId="26BE8DDA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P210 Von Hitze, heißen Oberflächen, Funken, offenen Flammen sowie anderen Zündquellenarten fernhalten. Nicht rauchen.</w:t>
      </w:r>
    </w:p>
    <w:p w14:paraId="7754B125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P240 Behälter und zu </w:t>
      </w:r>
      <w:proofErr w:type="spellStart"/>
      <w:r w:rsidRPr="00D921FA">
        <w:rPr>
          <w:rFonts w:ascii="Arial" w:hAnsi="Arial" w:cs="Arial"/>
          <w:color w:val="000000"/>
          <w:sz w:val="20"/>
          <w:szCs w:val="20"/>
        </w:rPr>
        <w:t>befüllende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921FA">
        <w:rPr>
          <w:rFonts w:ascii="Arial" w:hAnsi="Arial" w:cs="Arial"/>
          <w:color w:val="000000"/>
          <w:sz w:val="20"/>
          <w:szCs w:val="20"/>
        </w:rPr>
        <w:t>Anlage erden.</w:t>
      </w:r>
    </w:p>
    <w:p w14:paraId="071CC730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P243 Maßnahmen gegen elektrostatische Aufladungen treffen.</w:t>
      </w:r>
    </w:p>
    <w:p w14:paraId="761241E5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P260 Staub/Rauch/Gas/Nebel/Dampf/Aerosol nicht einatmen.</w:t>
      </w:r>
    </w:p>
    <w:p w14:paraId="3576D6A4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P280 Schutzhandschuhe/Schutzkleidung/Augenschutz/Gesichtsschutz tragen.</w:t>
      </w:r>
    </w:p>
    <w:p w14:paraId="2B153383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P370+P378 Bei Brand: CO2, Schaum, chemisches Puder zum Löschen verwenden.</w:t>
      </w:r>
    </w:p>
    <w:p w14:paraId="6765EB93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C0B4F14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Spezielle Vorschriften:</w:t>
      </w:r>
    </w:p>
    <w:p w14:paraId="68E58296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7CFA9E8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Keine</w:t>
      </w:r>
    </w:p>
    <w:p w14:paraId="04B5F4F6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3834660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Enthält:</w:t>
      </w:r>
    </w:p>
    <w:p w14:paraId="6E2FB5E0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7614CE2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Styrol</w:t>
      </w:r>
    </w:p>
    <w:p w14:paraId="2ACF5358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Cobalt bis(2-ethylhexanoate)</w:t>
      </w:r>
    </w:p>
    <w:p w14:paraId="6EBD1741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73212F8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21FA">
        <w:rPr>
          <w:rFonts w:ascii="Arial" w:hAnsi="Arial" w:cs="Arial"/>
          <w:sz w:val="20"/>
          <w:szCs w:val="20"/>
        </w:rPr>
        <w:t>Besondere Regelungen gemäß Anhang XVII der REACH-Verordnung nachfolgenden Änderungen:</w:t>
      </w:r>
    </w:p>
    <w:p w14:paraId="070EA5C4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7F9F25F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21FA">
        <w:rPr>
          <w:rFonts w:ascii="Arial" w:hAnsi="Arial" w:cs="Arial"/>
          <w:sz w:val="20"/>
          <w:szCs w:val="20"/>
        </w:rPr>
        <w:t>Keine</w:t>
      </w:r>
    </w:p>
    <w:p w14:paraId="2AD3F9C2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12159C0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21FA">
        <w:rPr>
          <w:rFonts w:ascii="Arial" w:hAnsi="Arial" w:cs="Arial"/>
          <w:sz w:val="20"/>
          <w:szCs w:val="20"/>
        </w:rPr>
        <w:t>2.3. Sonstige Gefahren</w:t>
      </w:r>
    </w:p>
    <w:p w14:paraId="177CDF2A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C89FB84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21FA">
        <w:rPr>
          <w:rFonts w:ascii="Arial" w:hAnsi="Arial" w:cs="Arial"/>
          <w:sz w:val="20"/>
          <w:szCs w:val="20"/>
        </w:rPr>
        <w:t>Weitere Risiken:</w:t>
      </w:r>
    </w:p>
    <w:p w14:paraId="4482C5B4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21FA">
        <w:rPr>
          <w:rFonts w:ascii="Arial" w:hAnsi="Arial" w:cs="Arial"/>
          <w:sz w:val="20"/>
          <w:szCs w:val="20"/>
        </w:rPr>
        <w:t>Kein anderes Risiko bekannt</w:t>
      </w:r>
    </w:p>
    <w:p w14:paraId="67E7608E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2702372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130C898F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305EED1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75A7A6C8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BB64536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A89FA83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7A5C61E2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45240354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11A07A78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48715F9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D62DD21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4CA1581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47A7B986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08852459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76D01590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7D82E19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B6D476E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1A5A1257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0C7E631C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7ACD1EE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BFE9078" w14:textId="77777777" w:rsidR="003F5448" w:rsidRPr="003F5448" w:rsidRDefault="003F5448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FF932D9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3F5448">
        <w:rPr>
          <w:rFonts w:ascii="Arial" w:hAnsi="Arial" w:cs="Arial"/>
          <w:b/>
          <w:bCs/>
          <w:color w:val="0000FF"/>
          <w:sz w:val="20"/>
          <w:szCs w:val="20"/>
        </w:rPr>
        <w:t>ABSCHNITT 3: Zusammensetzung/Angaben zu Bestandteilen</w:t>
      </w:r>
    </w:p>
    <w:p w14:paraId="36206DFF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1528AE33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F5448">
        <w:rPr>
          <w:rFonts w:ascii="Arial" w:hAnsi="Arial" w:cs="Arial"/>
          <w:color w:val="000000"/>
          <w:sz w:val="20"/>
          <w:szCs w:val="20"/>
        </w:rPr>
        <w:t>3.1. Stoffe</w:t>
      </w:r>
    </w:p>
    <w:p w14:paraId="54AF96D8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F3ABEC6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F5448">
        <w:rPr>
          <w:rFonts w:ascii="Arial" w:hAnsi="Arial" w:cs="Arial"/>
          <w:color w:val="000000"/>
          <w:sz w:val="20"/>
          <w:szCs w:val="20"/>
        </w:rPr>
        <w:t>N.A.</w:t>
      </w:r>
    </w:p>
    <w:p w14:paraId="3BB597C2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08BC19F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F5448">
        <w:rPr>
          <w:rFonts w:ascii="Arial" w:hAnsi="Arial" w:cs="Arial"/>
          <w:color w:val="000000"/>
          <w:sz w:val="20"/>
          <w:szCs w:val="20"/>
        </w:rPr>
        <w:t>3.2. Gemische</w:t>
      </w:r>
    </w:p>
    <w:p w14:paraId="4C8FC9ED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34268C8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F5448">
        <w:rPr>
          <w:rFonts w:ascii="Arial" w:hAnsi="Arial" w:cs="Arial"/>
          <w:color w:val="000000"/>
          <w:sz w:val="20"/>
          <w:szCs w:val="20"/>
        </w:rPr>
        <w:t>Gefährliche Bestandteile gemäß der RL 67/548/EWG und gemäß der CLP VO, und dazugehörige Einstufung:</w:t>
      </w:r>
    </w:p>
    <w:p w14:paraId="65BA98C5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283AEC9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&gt;= 20% - &lt; 25%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Styrol</w:t>
      </w:r>
      <w:proofErr w:type="spellEnd"/>
    </w:p>
    <w:p w14:paraId="50D51A1A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0011105E" wp14:editId="29AD8BB0">
            <wp:simplePos x="0" y="0"/>
            <wp:positionH relativeFrom="margin">
              <wp:align>left</wp:align>
            </wp:positionH>
            <wp:positionV relativeFrom="paragraph">
              <wp:posOffset>150495</wp:posOffset>
            </wp:positionV>
            <wp:extent cx="180975" cy="857885"/>
            <wp:effectExtent l="0" t="0" r="9525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5" cy="8623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5448">
        <w:rPr>
          <w:rFonts w:ascii="Arial" w:hAnsi="Arial" w:cs="Arial"/>
          <w:color w:val="000000"/>
          <w:sz w:val="20"/>
          <w:szCs w:val="20"/>
          <w:lang w:val="en-US"/>
        </w:rPr>
        <w:t>REACH No.: 01-2119457861-32-xxxx, Index-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Nummer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: 601-026-00-0, CAS: 100-42-5, EC: 202-851-5</w:t>
      </w:r>
    </w:p>
    <w:p w14:paraId="1A57436B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2.6/3 Flam. Liq. 3 H226</w:t>
      </w:r>
    </w:p>
    <w:p w14:paraId="20C22FE6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3.7/2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Repr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H361d</w:t>
      </w:r>
    </w:p>
    <w:p w14:paraId="54B43DBB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3.1/4/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Inhal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 Acute Tox. 4 H332</w:t>
      </w:r>
    </w:p>
    <w:p w14:paraId="21B10B19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3.9/1 STOT RE 1 H372</w:t>
      </w:r>
    </w:p>
    <w:p w14:paraId="20038198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3.2/2 Skin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Irrit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H315</w:t>
      </w:r>
    </w:p>
    <w:p w14:paraId="418F70F2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3.3/2 Eye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Irrit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H319</w:t>
      </w:r>
    </w:p>
    <w:p w14:paraId="36ECCDC1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59E36C9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&gt;= 0.1% - &lt; 0.2% Cobalt bis(2-ethylhexanoate)</w:t>
      </w:r>
    </w:p>
    <w:p w14:paraId="11A8966A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01D4B8DB" wp14:editId="58C46979">
            <wp:simplePos x="0" y="0"/>
            <wp:positionH relativeFrom="margin">
              <wp:align>left</wp:align>
            </wp:positionH>
            <wp:positionV relativeFrom="paragraph">
              <wp:posOffset>150495</wp:posOffset>
            </wp:positionV>
            <wp:extent cx="180975" cy="685670"/>
            <wp:effectExtent l="0" t="0" r="0" b="635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685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5448">
        <w:rPr>
          <w:rFonts w:ascii="Arial" w:hAnsi="Arial" w:cs="Arial"/>
          <w:color w:val="000000"/>
          <w:sz w:val="20"/>
          <w:szCs w:val="20"/>
          <w:lang w:val="en-US"/>
        </w:rPr>
        <w:t>REACH No.: 01-2119524678-29-xxxx, CAS: 136-52-7, EC: 205-250-6</w:t>
      </w:r>
    </w:p>
    <w:p w14:paraId="0B9F0860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3.3/2 Eye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Irrit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H319</w:t>
      </w:r>
    </w:p>
    <w:p w14:paraId="6F10F043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3.7/2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Repr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H361f</w:t>
      </w:r>
    </w:p>
    <w:p w14:paraId="77DE2CAD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4.1/A1 Aquatic Acute 1 H400</w:t>
      </w:r>
    </w:p>
    <w:p w14:paraId="2164F03F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3.4.2/1A Skin Sens. 1A H317</w:t>
      </w:r>
    </w:p>
    <w:p w14:paraId="38615D0E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4.1/C3 Aquatic Chronic 3 H412</w:t>
      </w:r>
    </w:p>
    <w:p w14:paraId="0A3BB675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FD36E36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&gt;= 0.06% - &lt; 0.1%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Aceton</w:t>
      </w:r>
      <w:proofErr w:type="spellEnd"/>
    </w:p>
    <w:p w14:paraId="5D37E0F0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020F1E7B" wp14:editId="1910FECC">
            <wp:simplePos x="0" y="0"/>
            <wp:positionH relativeFrom="margin">
              <wp:align>left</wp:align>
            </wp:positionH>
            <wp:positionV relativeFrom="paragraph">
              <wp:posOffset>144144</wp:posOffset>
            </wp:positionV>
            <wp:extent cx="142875" cy="407499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407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5448">
        <w:rPr>
          <w:rFonts w:ascii="Arial" w:hAnsi="Arial" w:cs="Arial"/>
          <w:color w:val="000000"/>
          <w:sz w:val="20"/>
          <w:szCs w:val="20"/>
          <w:lang w:val="en-US"/>
        </w:rPr>
        <w:t>REACH No.: 01-2119471330-49-xxxx, Index-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Nummer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: 606-001-00-8, CAS: 67-64-1, EC: 200-662-2</w:t>
      </w:r>
    </w:p>
    <w:p w14:paraId="43BD306D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2.6/2 Flam. Liq. 2 H225</w:t>
      </w:r>
    </w:p>
    <w:p w14:paraId="4BF7AC40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3.3/2 Eye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Irrit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H319</w:t>
      </w:r>
    </w:p>
    <w:p w14:paraId="7797E73E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3.8/3 STOT SE 3 H336</w:t>
      </w:r>
    </w:p>
    <w:p w14:paraId="198F271E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EUH066</w:t>
      </w:r>
    </w:p>
    <w:p w14:paraId="23DC6B76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A13653B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&gt;= 0.05% - &lt; 0.06% Xylol [isomer mixture]</w:t>
      </w:r>
    </w:p>
    <w:p w14:paraId="351F80B2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3C0B8EBC" wp14:editId="226F9CBD">
            <wp:simplePos x="0" y="0"/>
            <wp:positionH relativeFrom="margin">
              <wp:align>left</wp:align>
            </wp:positionH>
            <wp:positionV relativeFrom="paragraph">
              <wp:posOffset>140970</wp:posOffset>
            </wp:positionV>
            <wp:extent cx="152400" cy="1143008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143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5448">
        <w:rPr>
          <w:rFonts w:ascii="Arial" w:hAnsi="Arial" w:cs="Arial"/>
          <w:color w:val="000000"/>
          <w:sz w:val="20"/>
          <w:szCs w:val="20"/>
          <w:lang w:val="en-US"/>
        </w:rPr>
        <w:t>REACH No.: 01-2119488216-32-xxxx, Index-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Nummer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: 601-022-00-9, CAS: 1330-20-7, EC: 215-535-7</w:t>
      </w:r>
    </w:p>
    <w:p w14:paraId="1498F499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2.6/3 Flam. Liq. 3 H226</w:t>
      </w:r>
    </w:p>
    <w:p w14:paraId="4AEC5372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3.10/1 Asp. Tox. 1 H304</w:t>
      </w:r>
    </w:p>
    <w:p w14:paraId="674A094A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3.3/2 Eye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Irrit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H319</w:t>
      </w:r>
    </w:p>
    <w:p w14:paraId="1E5343A9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3.8/3 STOT SE 3 H335</w:t>
      </w:r>
    </w:p>
    <w:p w14:paraId="7B5773D2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3.9/2 STOT RE 2 H373</w:t>
      </w:r>
    </w:p>
    <w:p w14:paraId="65033FCA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3.2/2 Skin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Irrit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H315</w:t>
      </w:r>
    </w:p>
    <w:p w14:paraId="48B31601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3.1/4/Dermal Acute Tox. 4 H312</w:t>
      </w:r>
    </w:p>
    <w:p w14:paraId="195FF43D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3.1/4/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Inhal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 Acute Tox. 4 H332</w:t>
      </w:r>
    </w:p>
    <w:p w14:paraId="112993C4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316843F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&gt;= 0.0015% - &lt; 0.05% 1,4-Dihydroxybenzol</w:t>
      </w:r>
    </w:p>
    <w:p w14:paraId="11DC27A7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REACH No.: 01-2119524016-51-xxxx, Index-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Nummer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: 604-005-00-4, CAS: 123-31-9, EC: 204-617-8</w:t>
      </w:r>
    </w:p>
    <w:p w14:paraId="45E9DF14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3.6/2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Carc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H351</w:t>
      </w:r>
    </w:p>
    <w:p w14:paraId="381FCF98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3.5/2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Muta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H341</w:t>
      </w:r>
    </w:p>
    <w:p w14:paraId="376BBF14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3.3/1 Eye Dam. 1 H318</w:t>
      </w:r>
    </w:p>
    <w:p w14:paraId="3B8E3955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3.4.2/1-1A-1B Skin Sens. 1,1A,1B H317</w:t>
      </w:r>
    </w:p>
    <w:p w14:paraId="5A3A4E44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4.1/A1 Aquatic Acute 1 H400 M=10.</w:t>
      </w:r>
    </w:p>
    <w:p w14:paraId="09D95F1F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3.1/4/Oral Acute Tox. 4 H302</w:t>
      </w:r>
    </w:p>
    <w:p w14:paraId="7322E89F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D431D17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2BFC29D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199D0EA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4F04640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0C3C34C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127E281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lastRenderedPageBreak/>
        <w:t xml:space="preserve">&gt;= 0.0015% - &lt; 0.05%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Ethylbenzol</w:t>
      </w:r>
      <w:proofErr w:type="spellEnd"/>
    </w:p>
    <w:p w14:paraId="322949A9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noProof/>
        </w:rPr>
        <w:drawing>
          <wp:anchor distT="0" distB="0" distL="0" distR="0" simplePos="0" relativeHeight="251669504" behindDoc="0" locked="0" layoutInCell="1" allowOverlap="1" wp14:anchorId="2EDCBB5A" wp14:editId="650C4A7A">
            <wp:simplePos x="0" y="0"/>
            <wp:positionH relativeFrom="margin">
              <wp:align>left</wp:align>
            </wp:positionH>
            <wp:positionV relativeFrom="paragraph">
              <wp:posOffset>149859</wp:posOffset>
            </wp:positionV>
            <wp:extent cx="152400" cy="574187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574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5448">
        <w:rPr>
          <w:rFonts w:ascii="Arial" w:hAnsi="Arial" w:cs="Arial"/>
          <w:color w:val="000000"/>
          <w:sz w:val="20"/>
          <w:szCs w:val="20"/>
          <w:lang w:val="en-US"/>
        </w:rPr>
        <w:t>REACH No.: 01-2119489370-35-xxx, Index-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Nummer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: 601-023-00-4, CAS: 100-41-4, EC: 202-849-4</w:t>
      </w:r>
    </w:p>
    <w:p w14:paraId="74FB996E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3F5448">
        <w:rPr>
          <w:rFonts w:ascii="Arial" w:hAnsi="Arial" w:cs="Arial"/>
          <w:color w:val="000000"/>
          <w:sz w:val="20"/>
          <w:szCs w:val="20"/>
        </w:rPr>
        <w:t xml:space="preserve">2.6/2 Flam.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</w:rPr>
        <w:t>Liq</w:t>
      </w:r>
      <w:proofErr w:type="spellEnd"/>
      <w:r w:rsidRPr="003F5448">
        <w:rPr>
          <w:rFonts w:ascii="Arial" w:hAnsi="Arial" w:cs="Arial"/>
          <w:color w:val="000000"/>
          <w:sz w:val="20"/>
          <w:szCs w:val="20"/>
        </w:rPr>
        <w:t>. 2 H225</w:t>
      </w:r>
    </w:p>
    <w:p w14:paraId="733A0446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3F5448">
        <w:rPr>
          <w:rFonts w:ascii="Arial" w:hAnsi="Arial" w:cs="Arial"/>
          <w:color w:val="000000"/>
          <w:sz w:val="20"/>
          <w:szCs w:val="20"/>
        </w:rPr>
        <w:t>3.1/4/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</w:rPr>
        <w:t>Inhal</w:t>
      </w:r>
      <w:proofErr w:type="spellEnd"/>
      <w:r w:rsidRPr="003F544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</w:rPr>
        <w:t>Acute</w:t>
      </w:r>
      <w:proofErr w:type="spellEnd"/>
      <w:r w:rsidRPr="003F544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</w:rPr>
        <w:t>Tox</w:t>
      </w:r>
      <w:proofErr w:type="spellEnd"/>
      <w:r w:rsidRPr="003F5448">
        <w:rPr>
          <w:rFonts w:ascii="Arial" w:hAnsi="Arial" w:cs="Arial"/>
          <w:color w:val="000000"/>
          <w:sz w:val="20"/>
          <w:szCs w:val="20"/>
        </w:rPr>
        <w:t>. 4 H332</w:t>
      </w:r>
    </w:p>
    <w:p w14:paraId="13C2E040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3.9/2 STOT RE 2 H373</w:t>
      </w:r>
    </w:p>
    <w:p w14:paraId="3621C39A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3.10/1 Asp. Tox. 1 H304</w:t>
      </w:r>
    </w:p>
    <w:p w14:paraId="4859C84E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7663E9D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&gt;= 0.0015% - &lt; 0.05%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Oxalsäure</w:t>
      </w:r>
      <w:proofErr w:type="spellEnd"/>
    </w:p>
    <w:p w14:paraId="687CE48D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noProof/>
        </w:rPr>
        <w:drawing>
          <wp:anchor distT="0" distB="0" distL="0" distR="0" simplePos="0" relativeHeight="251671552" behindDoc="0" locked="0" layoutInCell="1" allowOverlap="1" wp14:anchorId="239221E8" wp14:editId="382B973A">
            <wp:simplePos x="0" y="0"/>
            <wp:positionH relativeFrom="margin">
              <wp:align>left</wp:align>
            </wp:positionH>
            <wp:positionV relativeFrom="paragraph">
              <wp:posOffset>146685</wp:posOffset>
            </wp:positionV>
            <wp:extent cx="142875" cy="275690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275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5448">
        <w:rPr>
          <w:rFonts w:ascii="Arial" w:hAnsi="Arial" w:cs="Arial"/>
          <w:color w:val="000000"/>
          <w:sz w:val="20"/>
          <w:szCs w:val="20"/>
          <w:lang w:val="en-US"/>
        </w:rPr>
        <w:t>Index-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Nummer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: 607-006-00-8, CAS: 144-62-7, EC: 205-634-3</w:t>
      </w:r>
    </w:p>
    <w:p w14:paraId="1A58D50F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3.1/4/Oral Acute Tox. 4 H302</w:t>
      </w:r>
    </w:p>
    <w:p w14:paraId="5CF26023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3.1/4/Dermal Acute Tox. 4 H312</w:t>
      </w:r>
    </w:p>
    <w:p w14:paraId="595F07B0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2DB6D723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3F5448">
        <w:rPr>
          <w:rFonts w:ascii="Arial" w:hAnsi="Arial" w:cs="Arial"/>
          <w:b/>
          <w:bCs/>
          <w:color w:val="0000FF"/>
          <w:sz w:val="20"/>
          <w:szCs w:val="20"/>
        </w:rPr>
        <w:t>ABSCHNITT 4: Erste-Hilfe-Maßnahmen</w:t>
      </w:r>
    </w:p>
    <w:p w14:paraId="5A681847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66784F55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4.1. Beschreibung der Erste-Hilfe-Maßnahmen</w:t>
      </w:r>
    </w:p>
    <w:p w14:paraId="30884D2A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8052390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Nach Hautkontakt:</w:t>
      </w:r>
    </w:p>
    <w:p w14:paraId="78324D4F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Körperbereiche, die mit dem Produkt in Kontakt getreten sind, bzw. bei denen dieser Verdacht besteht, müssen sofort mit viel</w:t>
      </w:r>
      <w:r>
        <w:rPr>
          <w:rFonts w:ascii="Arial" w:hAnsi="Arial" w:cs="Arial"/>
          <w:sz w:val="20"/>
          <w:szCs w:val="20"/>
        </w:rPr>
        <w:t xml:space="preserve"> </w:t>
      </w:r>
      <w:r w:rsidRPr="003F5448">
        <w:rPr>
          <w:rFonts w:ascii="Arial" w:hAnsi="Arial" w:cs="Arial"/>
          <w:sz w:val="20"/>
          <w:szCs w:val="20"/>
        </w:rPr>
        <w:t>fließendem Wasser und möglichst mit Seife gewaschen werden.</w:t>
      </w:r>
    </w:p>
    <w:p w14:paraId="3CCCD599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Den Körper vollständig waschen (Dusche oder Bad).</w:t>
      </w:r>
    </w:p>
    <w:p w14:paraId="192B18D7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Die kontaminierten Kleidungsstücke sofort ablegen und sie auf sichere Weise entsorgen.</w:t>
      </w:r>
    </w:p>
    <w:p w14:paraId="2564A3CF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Im Falle von Hautkontakt sofort mit reichlich Wasser und Seife waschen.</w:t>
      </w:r>
    </w:p>
    <w:p w14:paraId="20ECFC6A" w14:textId="77777777" w:rsidR="005810AC" w:rsidRPr="003F5448" w:rsidRDefault="005810AC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E9C3B89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Nach Augenkontakt:</w:t>
      </w:r>
    </w:p>
    <w:p w14:paraId="0AA4C61F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 xml:space="preserve">Im Falle von Augenkontakt die Augen über einen ausreichenden Zeitraum mit Wasser spülen und die Augenlider </w:t>
      </w:r>
      <w:proofErr w:type="gramStart"/>
      <w:r w:rsidRPr="003F5448">
        <w:rPr>
          <w:rFonts w:ascii="Arial" w:hAnsi="Arial" w:cs="Arial"/>
          <w:sz w:val="20"/>
          <w:szCs w:val="20"/>
        </w:rPr>
        <w:t>offen halten</w:t>
      </w:r>
      <w:proofErr w:type="gramEnd"/>
      <w:r w:rsidRPr="003F5448">
        <w:rPr>
          <w:rFonts w:ascii="Arial" w:hAnsi="Arial" w:cs="Arial"/>
          <w:sz w:val="20"/>
          <w:szCs w:val="20"/>
        </w:rPr>
        <w:t>; sofort</w:t>
      </w:r>
      <w:r w:rsidR="005810AC">
        <w:rPr>
          <w:rFonts w:ascii="Arial" w:hAnsi="Arial" w:cs="Arial"/>
          <w:sz w:val="20"/>
          <w:szCs w:val="20"/>
        </w:rPr>
        <w:t xml:space="preserve"> </w:t>
      </w:r>
      <w:r w:rsidRPr="003F5448">
        <w:rPr>
          <w:rFonts w:ascii="Arial" w:hAnsi="Arial" w:cs="Arial"/>
          <w:sz w:val="20"/>
          <w:szCs w:val="20"/>
        </w:rPr>
        <w:t>einen Augenarzt konsultieren.</w:t>
      </w:r>
    </w:p>
    <w:p w14:paraId="6E515472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Das unverletzte Auge schützen.</w:t>
      </w:r>
    </w:p>
    <w:p w14:paraId="41219AAA" w14:textId="77777777" w:rsidR="005810AC" w:rsidRPr="003F5448" w:rsidRDefault="005810AC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1375256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Nach Verschlucken:</w:t>
      </w:r>
    </w:p>
    <w:p w14:paraId="025E7A46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Nur auf Anweisung eines Arztes erbrechen.</w:t>
      </w:r>
    </w:p>
    <w:p w14:paraId="7D857869" w14:textId="77777777" w:rsidR="005810AC" w:rsidRPr="003F5448" w:rsidRDefault="005810AC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4696211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Nach Einatmen:</w:t>
      </w:r>
    </w:p>
    <w:p w14:paraId="59E3CB6A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Im Falle von Einatmen unverzüglich einen Arzt konsultieren und ihm die Packung bzw. das Etikett zeigen.</w:t>
      </w:r>
    </w:p>
    <w:p w14:paraId="12FF85EA" w14:textId="77777777" w:rsidR="005810AC" w:rsidRPr="003F5448" w:rsidRDefault="005810AC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FC124C4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4.2. Wichtigste akute und verzögert auftretende Symptome und Wirkungen</w:t>
      </w:r>
    </w:p>
    <w:p w14:paraId="5FAC6D56" w14:textId="77777777" w:rsidR="005810AC" w:rsidRPr="003F5448" w:rsidRDefault="005810AC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4EB5913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Wenden Sie sich an eine Giftzentrale.</w:t>
      </w:r>
    </w:p>
    <w:p w14:paraId="03C53022" w14:textId="77777777" w:rsidR="005810AC" w:rsidRPr="003F5448" w:rsidRDefault="005810AC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ED43024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4.3. Hinweise auf ärztliche Soforthilfe oder Spezialbehandlung</w:t>
      </w:r>
    </w:p>
    <w:p w14:paraId="6D4799DC" w14:textId="77777777" w:rsidR="005810AC" w:rsidRPr="003F5448" w:rsidRDefault="005810AC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EE68362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Im Falle eines Unfalls bzw. bei Unwohlsein sofort einen Arzt konsultieren (wenn möglich, die Bedienungsanleitung bzw. das</w:t>
      </w:r>
      <w:r w:rsidR="005810AC">
        <w:rPr>
          <w:rFonts w:ascii="Arial" w:hAnsi="Arial" w:cs="Arial"/>
          <w:sz w:val="20"/>
          <w:szCs w:val="20"/>
        </w:rPr>
        <w:t xml:space="preserve"> </w:t>
      </w:r>
      <w:r w:rsidRPr="003F5448">
        <w:rPr>
          <w:rFonts w:ascii="Arial" w:hAnsi="Arial" w:cs="Arial"/>
          <w:sz w:val="20"/>
          <w:szCs w:val="20"/>
        </w:rPr>
        <w:t>Sicherheitsdatenblatt vorzeigen).</w:t>
      </w:r>
    </w:p>
    <w:p w14:paraId="1C4B2730" w14:textId="77777777" w:rsidR="005810AC" w:rsidRDefault="005810AC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A2B1529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5810AC">
        <w:rPr>
          <w:rFonts w:ascii="Arial" w:hAnsi="Arial" w:cs="Arial"/>
          <w:b/>
          <w:bCs/>
          <w:color w:val="0000FF"/>
          <w:sz w:val="20"/>
          <w:szCs w:val="20"/>
        </w:rPr>
        <w:t>ABSCHNITT 5: Maßnahmen zur Brandbekämpfung</w:t>
      </w:r>
    </w:p>
    <w:p w14:paraId="31D78CA1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353AC1F3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5.1. Löschmittel</w:t>
      </w:r>
    </w:p>
    <w:p w14:paraId="2A2F495E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31E5690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Geeignete Löschmittel:</w:t>
      </w:r>
    </w:p>
    <w:p w14:paraId="6DEBD41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B3440EA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Bei Brand: CO2, Schaum, chemisches Puder zum Löschen verwenden.</w:t>
      </w:r>
    </w:p>
    <w:p w14:paraId="6EAAFA4A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050EC4F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Löschmittel, die aus Sicherheitsgründen nicht verwendet werden dürfen:</w:t>
      </w:r>
    </w:p>
    <w:p w14:paraId="2B865D41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CB45630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Keine besonderen Einschränkungen.</w:t>
      </w:r>
    </w:p>
    <w:p w14:paraId="0D5B4589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18740EF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5.2. Besondere vom Stoff oder Gemisch ausgehende Gefahren</w:t>
      </w:r>
    </w:p>
    <w:p w14:paraId="3CD2D21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ED277D9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Die Mischung kann während der Verbrennung Giftgase oder hochgiftige Gase freisetzen. Rauch nicht einatmen.</w:t>
      </w:r>
    </w:p>
    <w:p w14:paraId="6B4CADAD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Die Explosions- bzw. Verbrennungsgase nicht einatmen.</w:t>
      </w:r>
    </w:p>
    <w:p w14:paraId="77AFAAC6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lastRenderedPageBreak/>
        <w:t>Durch die Verbrennung entsteht ein dichter Rauch.</w:t>
      </w:r>
    </w:p>
    <w:p w14:paraId="2937618C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CA5F5D3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5.3. Hinweise für die Brandbekämpfung</w:t>
      </w:r>
    </w:p>
    <w:p w14:paraId="15D481D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484BA1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Geeignete Atemgeräte verwenden.</w:t>
      </w:r>
    </w:p>
    <w:p w14:paraId="42E3E0A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Das kontaminierte Löschwasser getrennt auffangen. Nicht in der Abwasserleitung entsorgen.</w:t>
      </w:r>
    </w:p>
    <w:p w14:paraId="3B2ED192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Wenn im Rahmen der Sicherheit möglich, die unbeschädigten Behälter aus der unmittelbaren Gefahrenzone entferne</w:t>
      </w:r>
      <w:r>
        <w:rPr>
          <w:rFonts w:ascii="Arial" w:hAnsi="Arial" w:cs="Arial"/>
          <w:color w:val="000000"/>
          <w:sz w:val="20"/>
          <w:szCs w:val="20"/>
        </w:rPr>
        <w:t>n.</w:t>
      </w:r>
    </w:p>
    <w:p w14:paraId="0E2A9287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243F945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5810AC">
        <w:rPr>
          <w:rFonts w:ascii="Arial" w:hAnsi="Arial" w:cs="Arial"/>
          <w:b/>
          <w:bCs/>
          <w:color w:val="0000FF"/>
          <w:sz w:val="20"/>
          <w:szCs w:val="20"/>
        </w:rPr>
        <w:t>ABSCHNITT 6: Maßnahmen bei unbeabsichtigter Freisetzung</w:t>
      </w:r>
    </w:p>
    <w:p w14:paraId="54BE96B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2EA80135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6.1. Personenbezogene Vorsichtsmaßnahmen, Schutzausrüstungen und in Notfällen anzuwendende Verfahren</w:t>
      </w:r>
    </w:p>
    <w:p w14:paraId="7E432039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0381FF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Die persönliche Schutzausrüstung tragen.</w:t>
      </w:r>
    </w:p>
    <w:p w14:paraId="342F514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Alle Entzündungsquellen entfernen.</w:t>
      </w:r>
    </w:p>
    <w:p w14:paraId="164DBEBA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Bei Exposition gegenüber Dämpfen, Stäuben oder Aerosolen Atemgeräte tragen.</w:t>
      </w:r>
    </w:p>
    <w:p w14:paraId="3F9AA64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Für eine angemessene Belüftung sorgen.</w:t>
      </w:r>
    </w:p>
    <w:p w14:paraId="2AEAFC2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Die Personen an einen sicheren Ort bringen.</w:t>
      </w:r>
    </w:p>
    <w:p w14:paraId="13D7C9F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Einen angemessenen Atemschutz verwenden.</w:t>
      </w:r>
    </w:p>
    <w:p w14:paraId="586B0CB9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Die in Punkt 7 und 8 aufgeführten Schutzmaßnahmen beachten.</w:t>
      </w:r>
    </w:p>
    <w:p w14:paraId="1DD3FDC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8BCB78D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6.2. Umweltschutzmaßnahmen</w:t>
      </w:r>
    </w:p>
    <w:p w14:paraId="2ADA95C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EAFFEC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Das Eindringen in den Boden/Unterboden verhindern. Das Abfließen in das Grundwasser oder in die Kanalisation verhindern.</w:t>
      </w:r>
    </w:p>
    <w:p w14:paraId="60CE072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Das kontaminierte Waschwasser auffangen und entsorgen.</w:t>
      </w:r>
    </w:p>
    <w:p w14:paraId="5AF68FAE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Bei Austritt von Gas oder bei Eintritt in Wasserläufe, den Boden oder die Kanalisation die zuständigen Behörden informieren.</w:t>
      </w:r>
    </w:p>
    <w:p w14:paraId="3FF2FED9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Geeignetes </w:t>
      </w:r>
      <w:r>
        <w:rPr>
          <w:rFonts w:ascii="Arial" w:hAnsi="Arial" w:cs="Arial"/>
          <w:color w:val="000000"/>
          <w:sz w:val="20"/>
          <w:szCs w:val="20"/>
        </w:rPr>
        <w:t>M</w:t>
      </w:r>
      <w:r w:rsidRPr="005810AC">
        <w:rPr>
          <w:rFonts w:ascii="Arial" w:hAnsi="Arial" w:cs="Arial"/>
          <w:color w:val="000000"/>
          <w:sz w:val="20"/>
          <w:szCs w:val="20"/>
        </w:rPr>
        <w:t>aterial zum Auffangen: absorbierende oder organische Materialien, Sand</w:t>
      </w:r>
    </w:p>
    <w:p w14:paraId="68278F3D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Alle offenen Flammen und möglichen Zündquellen beseitigen. Nicht rauchen.</w:t>
      </w:r>
    </w:p>
    <w:p w14:paraId="50AF1125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7318730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6.3. Methoden und Material für Rückhaltung und Reinigung</w:t>
      </w:r>
    </w:p>
    <w:p w14:paraId="721C38F7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FC2579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Ausgelaufenes </w:t>
      </w:r>
      <w:r>
        <w:rPr>
          <w:rFonts w:ascii="Arial" w:hAnsi="Arial" w:cs="Arial"/>
          <w:color w:val="000000"/>
          <w:sz w:val="20"/>
          <w:szCs w:val="20"/>
        </w:rPr>
        <w:t>M</w:t>
      </w:r>
      <w:r w:rsidRPr="005810AC">
        <w:rPr>
          <w:rFonts w:ascii="Arial" w:hAnsi="Arial" w:cs="Arial"/>
          <w:color w:val="000000"/>
          <w:sz w:val="20"/>
          <w:szCs w:val="20"/>
        </w:rPr>
        <w:t xml:space="preserve">aterial mit </w:t>
      </w:r>
      <w:r>
        <w:rPr>
          <w:rFonts w:ascii="Arial" w:hAnsi="Arial" w:cs="Arial"/>
          <w:color w:val="000000"/>
          <w:sz w:val="20"/>
          <w:szCs w:val="20"/>
        </w:rPr>
        <w:t>F</w:t>
      </w:r>
      <w:r w:rsidRPr="005810AC">
        <w:rPr>
          <w:rFonts w:ascii="Arial" w:hAnsi="Arial" w:cs="Arial"/>
          <w:color w:val="000000"/>
          <w:sz w:val="20"/>
          <w:szCs w:val="20"/>
        </w:rPr>
        <w:t>unkenschutzausr</w:t>
      </w:r>
      <w:r>
        <w:rPr>
          <w:rFonts w:ascii="Arial" w:hAnsi="Arial" w:cs="Arial"/>
          <w:color w:val="000000"/>
          <w:sz w:val="20"/>
          <w:szCs w:val="20"/>
        </w:rPr>
        <w:t>ü</w:t>
      </w:r>
      <w:r w:rsidRPr="005810AC">
        <w:rPr>
          <w:rFonts w:ascii="Arial" w:hAnsi="Arial" w:cs="Arial"/>
          <w:color w:val="000000"/>
          <w:sz w:val="20"/>
          <w:szCs w:val="20"/>
        </w:rPr>
        <w:t>stung einsammeln.</w:t>
      </w:r>
    </w:p>
    <w:p w14:paraId="1DA6F913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Maske und Schutzkleidung anlegen und Produkt rasch auffangen.</w:t>
      </w:r>
    </w:p>
    <w:p w14:paraId="29AE10BD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Produkt zur Wiederverwertung oder, falls möglich, zur Beseitigung, auffangen. Eventuell mit schadstofffreiem Material aufsaugen.</w:t>
      </w:r>
    </w:p>
    <w:p w14:paraId="15C4FD67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Nach dem Auffangen betroffenen Bereich und betroffenes Material mit Wasser abspülen.</w:t>
      </w:r>
    </w:p>
    <w:p w14:paraId="413A0A9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AB6440F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6.4. Verweis auf andere Abschnitte</w:t>
      </w:r>
    </w:p>
    <w:p w14:paraId="6D5DEC8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7480BA0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Siehe auch die Abschnitte 8 und 13</w:t>
      </w:r>
    </w:p>
    <w:p w14:paraId="31F2DA75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CB39278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5810AC">
        <w:rPr>
          <w:rFonts w:ascii="Arial" w:hAnsi="Arial" w:cs="Arial"/>
          <w:b/>
          <w:bCs/>
          <w:color w:val="0000FF"/>
          <w:sz w:val="20"/>
          <w:szCs w:val="20"/>
        </w:rPr>
        <w:t>ABSCHNITT 7: Handhabung und Lagerung</w:t>
      </w:r>
    </w:p>
    <w:p w14:paraId="2006E8E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4420A6B3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7.1. Schutzmaßnahmen zur sicheren Handhabung</w:t>
      </w:r>
    </w:p>
    <w:p w14:paraId="33A80C4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0EACA51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Vor offenen Flammen und Zündfunken fernhalten. Elektrostatische Aufladung vermeiden.</w:t>
      </w:r>
    </w:p>
    <w:p w14:paraId="5A6061D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Stellen Sie die Behälter während des Umfüllens auf dem Boden ab und tragen Sie antistatische Kleidung und Schuhe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3E9540FA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Haut- und Augenkontakt sowie das Einatmen von Dämpfen vermeiden.</w:t>
      </w:r>
    </w:p>
    <w:p w14:paraId="7EEA9D8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Beim Handhaben und Öffnen des Behälters mit größter Vorsicht vorgehen.</w:t>
      </w:r>
    </w:p>
    <w:p w14:paraId="09AADED3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Keine leeren Behälter verwenden, bevor diese nicht gereinigt wurden.</w:t>
      </w:r>
    </w:p>
    <w:p w14:paraId="7B330BE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Vor dem Umfüllen sicherstellen, dass sich in den Behältern keine Reste inkompatibler Stoffe befinden.</w:t>
      </w:r>
    </w:p>
    <w:p w14:paraId="705CB98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Kontaminierte Kleidungsstücke müssen vor dem Eintritt in Speiseräume gewechselt werden.</w:t>
      </w:r>
    </w:p>
    <w:p w14:paraId="3045EF1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Während der Arbeit nicht essen oder trinken.</w:t>
      </w:r>
    </w:p>
    <w:p w14:paraId="05F1519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Während der Arbeit nicht rauchen.</w:t>
      </w:r>
    </w:p>
    <w:p w14:paraId="15D3F5B5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Für die empfohlenen Schutzausrüstungen wird auf Abschnitt 8 verwiesen.</w:t>
      </w:r>
    </w:p>
    <w:p w14:paraId="7F85F126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0813B2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8C867FF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lastRenderedPageBreak/>
        <w:t>7.2. Bedingungen zur sicheren Lagerung unter Berücksichtigung von Unverträglichkeiten</w:t>
      </w:r>
    </w:p>
    <w:p w14:paraId="0B4A670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05F0C4C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Unter 30 °C lagern. Vor offenen Flammen und Wärmequellen fernhalten. Keiner direkten Sonneneinstrahlung aussetzen.</w:t>
      </w:r>
    </w:p>
    <w:p w14:paraId="1967A584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Lebensmittel, Getränke und Tiernahrung fernhalten.</w:t>
      </w:r>
    </w:p>
    <w:p w14:paraId="38456DA1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A8B8790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Unverträgliche Werkstoffe:</w:t>
      </w:r>
    </w:p>
    <w:p w14:paraId="35DC837E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7AD4CFE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Kein spezifischer.</w:t>
      </w:r>
    </w:p>
    <w:p w14:paraId="7E6F8C67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86A4D59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Angaben zu den Lagerräumen:</w:t>
      </w:r>
    </w:p>
    <w:p w14:paraId="4126019C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A1892F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Kühl und ausreichend belüftet.</w:t>
      </w:r>
    </w:p>
    <w:p w14:paraId="4BC9F626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Elektrische Anlage in Sicherheitsausführung.</w:t>
      </w:r>
    </w:p>
    <w:p w14:paraId="1DF4FE67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AD06CCA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7.3. Spezifische Endanwendungen</w:t>
      </w:r>
    </w:p>
    <w:p w14:paraId="08EA642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3107BFE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 xml:space="preserve">Keine weiteren Empfehlungen. Konsultieren </w:t>
      </w:r>
      <w:proofErr w:type="spellStart"/>
      <w:r w:rsidRPr="005810AC">
        <w:rPr>
          <w:rFonts w:ascii="Arial" w:hAnsi="Arial" w:cs="Arial"/>
          <w:sz w:val="20"/>
          <w:szCs w:val="20"/>
        </w:rPr>
        <w:t>Sie</w:t>
      </w:r>
      <w:proofErr w:type="spellEnd"/>
      <w:r w:rsidRPr="005810AC">
        <w:rPr>
          <w:rFonts w:ascii="Arial" w:hAnsi="Arial" w:cs="Arial"/>
          <w:sz w:val="20"/>
          <w:szCs w:val="20"/>
        </w:rPr>
        <w:t xml:space="preserve"> Punkt 1.2.</w:t>
      </w:r>
    </w:p>
    <w:p w14:paraId="4A717A9E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E79D3D7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5810AC">
        <w:rPr>
          <w:rFonts w:ascii="Arial" w:hAnsi="Arial" w:cs="Arial"/>
          <w:b/>
          <w:bCs/>
          <w:color w:val="0000FF"/>
          <w:sz w:val="20"/>
          <w:szCs w:val="20"/>
        </w:rPr>
        <w:t>ABSCHNITT 8: Begrenzung und Überwachung der Exposition/Persönliche Schutzausrüstungen</w:t>
      </w:r>
    </w:p>
    <w:p w14:paraId="22C0D425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5A975ECA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8.1. Zu überwachende Parameter</w:t>
      </w:r>
    </w:p>
    <w:p w14:paraId="7C1C52EE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5A675B6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Styrol - CAS: 100-42-5</w:t>
      </w:r>
    </w:p>
    <w:p w14:paraId="3DFEADB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E5A52B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12_SIRCA - LTE: 86 mg/m3, 20 ppm - Bemerkungen: - </w:t>
      </w:r>
      <w:proofErr w:type="gramStart"/>
      <w:r w:rsidRPr="005810AC">
        <w:rPr>
          <w:rFonts w:ascii="Arial" w:hAnsi="Arial" w:cs="Arial"/>
          <w:color w:val="000000"/>
          <w:sz w:val="20"/>
          <w:szCs w:val="20"/>
        </w:rPr>
        <w:t>KTV :</w:t>
      </w:r>
      <w:proofErr w:type="gramEnd"/>
      <w:r w:rsidRPr="005810AC">
        <w:rPr>
          <w:rFonts w:ascii="Arial" w:hAnsi="Arial" w:cs="Arial"/>
          <w:color w:val="000000"/>
          <w:sz w:val="20"/>
          <w:szCs w:val="20"/>
        </w:rPr>
        <w:t xml:space="preserve"> 4 -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</w:rPr>
        <w:t>Opomba</w:t>
      </w:r>
      <w:proofErr w:type="spellEnd"/>
      <w:r w:rsidRPr="005810AC">
        <w:rPr>
          <w:rFonts w:ascii="Arial" w:hAnsi="Arial" w:cs="Arial"/>
          <w:color w:val="000000"/>
          <w:sz w:val="20"/>
          <w:szCs w:val="20"/>
        </w:rPr>
        <w:t xml:space="preserve"> : Y, BAT</w:t>
      </w:r>
    </w:p>
    <w:p w14:paraId="1A231FA7" w14:textId="77777777" w:rsidR="005810AC" w:rsidRPr="0005239A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810AC">
        <w:rPr>
          <w:rFonts w:ascii="Arial" w:hAnsi="Arial" w:cs="Arial"/>
          <w:color w:val="000000"/>
          <w:sz w:val="20"/>
          <w:szCs w:val="20"/>
          <w:lang w:val="en-US"/>
        </w:rPr>
        <w:t xml:space="preserve">ACGIH -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  <w:lang w:val="en-US"/>
        </w:rPr>
        <w:t>Bemerkungen</w:t>
      </w:r>
      <w:proofErr w:type="spellEnd"/>
      <w:r w:rsidRPr="005810AC">
        <w:rPr>
          <w:rFonts w:ascii="Arial" w:hAnsi="Arial" w:cs="Arial"/>
          <w:color w:val="000000"/>
          <w:sz w:val="20"/>
          <w:szCs w:val="20"/>
          <w:lang w:val="en-US"/>
        </w:rPr>
        <w:t>: Biological limit value: 0,2 mg/</w:t>
      </w:r>
      <w:proofErr w:type="gramStart"/>
      <w:r w:rsidRPr="005810AC">
        <w:rPr>
          <w:rFonts w:ascii="Arial" w:hAnsi="Arial" w:cs="Arial"/>
          <w:color w:val="000000"/>
          <w:sz w:val="20"/>
          <w:szCs w:val="20"/>
          <w:lang w:val="en-US"/>
        </w:rPr>
        <w:t>l .</w:t>
      </w:r>
      <w:proofErr w:type="gramEnd"/>
      <w:r w:rsidRPr="005810AC">
        <w:rPr>
          <w:rFonts w:ascii="Arial" w:hAnsi="Arial" w:cs="Arial"/>
          <w:color w:val="000000"/>
          <w:sz w:val="20"/>
          <w:szCs w:val="20"/>
          <w:lang w:val="en-US"/>
        </w:rPr>
        <w:t xml:space="preserve"> Champion: Venous blood at the end of the work </w:t>
      </w:r>
      <w:proofErr w:type="gramStart"/>
      <w:r w:rsidRPr="005810AC">
        <w:rPr>
          <w:rFonts w:ascii="Arial" w:hAnsi="Arial" w:cs="Arial"/>
          <w:color w:val="000000"/>
          <w:sz w:val="20"/>
          <w:szCs w:val="20"/>
          <w:lang w:val="en-US"/>
        </w:rPr>
        <w:t>shift .</w:t>
      </w:r>
      <w:proofErr w:type="gramEnd"/>
      <w:r w:rsidRPr="005810AC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05239A">
        <w:rPr>
          <w:rFonts w:ascii="Arial" w:hAnsi="Arial" w:cs="Arial"/>
          <w:color w:val="000000"/>
          <w:sz w:val="20"/>
          <w:szCs w:val="20"/>
          <w:lang w:val="en-US"/>
        </w:rPr>
        <w:t>Biological</w:t>
      </w:r>
    </w:p>
    <w:p w14:paraId="50820AEE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810AC">
        <w:rPr>
          <w:rFonts w:ascii="Arial" w:hAnsi="Arial" w:cs="Arial"/>
          <w:color w:val="000000"/>
          <w:sz w:val="20"/>
          <w:szCs w:val="20"/>
          <w:lang w:val="en-US"/>
        </w:rPr>
        <w:t>indicator: styrene</w:t>
      </w:r>
    </w:p>
    <w:p w14:paraId="27EA2E5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810AC">
        <w:rPr>
          <w:rFonts w:ascii="Arial" w:hAnsi="Arial" w:cs="Arial"/>
          <w:color w:val="000000"/>
          <w:sz w:val="20"/>
          <w:szCs w:val="20"/>
          <w:lang w:val="en-US"/>
        </w:rPr>
        <w:t xml:space="preserve">ACGIH -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  <w:lang w:val="en-US"/>
        </w:rPr>
        <w:t>Bemerkungen</w:t>
      </w:r>
      <w:proofErr w:type="spellEnd"/>
      <w:r w:rsidRPr="005810AC">
        <w:rPr>
          <w:rFonts w:ascii="Arial" w:hAnsi="Arial" w:cs="Arial"/>
          <w:color w:val="000000"/>
          <w:sz w:val="20"/>
          <w:szCs w:val="20"/>
          <w:lang w:val="en-US"/>
        </w:rPr>
        <w:t xml:space="preserve">: Biological limit value: 400 mg/g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  <w:lang w:val="en-US"/>
        </w:rPr>
        <w:t>Kreatinina</w:t>
      </w:r>
      <w:proofErr w:type="spellEnd"/>
      <w:r w:rsidRPr="005810AC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5DFFBBCE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ACGIH - LTE: 85.2 mg/m3, 20 ppm - STE: 170.4 mg/m3, 40 ppm - Bemerkungen: - A4</w:t>
      </w:r>
    </w:p>
    <w:p w14:paraId="36D4BAA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454C399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2E0C348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Styrol - CAS: 100-42-5</w:t>
      </w:r>
    </w:p>
    <w:p w14:paraId="33B0A75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B110DD3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Arbeitnehmer Gewerbe: 289 mg/m3 - Exposition: Mensch - Inhalation - Häufigkeit: Kurzfristig, systemische Auswirkungen</w:t>
      </w:r>
    </w:p>
    <w:p w14:paraId="784C213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Arbeitnehmer Gewerbe: 306 mg/m3 - Exposition: Mensch - Inhalation - Häufigkeit: Kurzfristig, lokale Auswirkungen</w:t>
      </w:r>
    </w:p>
    <w:p w14:paraId="1BA3BC83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Arbeitnehmer Gewerbe: 406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</w:rPr>
        <w:t>bw</w:t>
      </w:r>
      <w:proofErr w:type="spellEnd"/>
      <w:r w:rsidRPr="005810AC">
        <w:rPr>
          <w:rFonts w:ascii="Arial" w:hAnsi="Arial" w:cs="Arial"/>
          <w:color w:val="000000"/>
          <w:sz w:val="20"/>
          <w:szCs w:val="20"/>
        </w:rPr>
        <w:t xml:space="preserve"> - Exposition: Mensch - dermal - Häufigkeit: Langfristig, systemische Auswirkungen</w:t>
      </w:r>
    </w:p>
    <w:p w14:paraId="7383AC9A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Arbeitnehmer Gewerbe: 85 mg/m3 - Exposition: Mensch - Inhalation - Häufigkeit: Langfristig, systemische Auswirkungen</w:t>
      </w:r>
    </w:p>
    <w:p w14:paraId="1D8186E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Verbraucher: 2.1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</w:rPr>
        <w:t>bw</w:t>
      </w:r>
      <w:proofErr w:type="spellEnd"/>
      <w:r w:rsidRPr="005810AC">
        <w:rPr>
          <w:rFonts w:ascii="Arial" w:hAnsi="Arial" w:cs="Arial"/>
          <w:color w:val="000000"/>
          <w:sz w:val="20"/>
          <w:szCs w:val="20"/>
        </w:rPr>
        <w:t xml:space="preserve"> - Exposition: Mensch - oral - Häufigkeit: Langfristig, systemische Auswirkungen</w:t>
      </w:r>
    </w:p>
    <w:p w14:paraId="0D224363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Verbraucher: 174.25 mg/m3 - Exposition: Mensch - Inhalation - Häufigkeit: Kurzfristig, systemische Auswirkungen</w:t>
      </w:r>
    </w:p>
    <w:p w14:paraId="767FE82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Verbraucher: 182.75 mg/m3 - Exposition: Mensch - Inhalation - Häufigkeit: Kurzfristig, lokale Auswirkungen</w:t>
      </w:r>
    </w:p>
    <w:p w14:paraId="23FA3367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Verbraucher: 343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</w:rPr>
        <w:t>bw</w:t>
      </w:r>
      <w:proofErr w:type="spellEnd"/>
      <w:r w:rsidRPr="005810AC">
        <w:rPr>
          <w:rFonts w:ascii="Arial" w:hAnsi="Arial" w:cs="Arial"/>
          <w:color w:val="000000"/>
          <w:sz w:val="20"/>
          <w:szCs w:val="20"/>
        </w:rPr>
        <w:t xml:space="preserve"> - Exposition: Mensch - dermal - Häufigkeit: Langfristig, systemische Auswirkungen</w:t>
      </w:r>
    </w:p>
    <w:p w14:paraId="5092CD69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Verbraucher: 10.2 mg/m3 - Exposition: Mensch - Inhalation - Häufigkeit: Langfristig, systemische Auswirkungen</w:t>
      </w:r>
    </w:p>
    <w:p w14:paraId="2ADF0A9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9A512D9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Cobalt bis(2-ethylhexanoate) - CAS: 136-52-7</w:t>
      </w:r>
    </w:p>
    <w:p w14:paraId="5CD0F52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75AEA8F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Arbeitnehmer Industrie: 0.235 mg/m3 - Exposition: Mensch - Inhalation - Häufigkeit: Langfristig, systemische Auswirkungen</w:t>
      </w:r>
    </w:p>
    <w:p w14:paraId="55E54BA9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9008E5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5616B0F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Styrol - CAS: 100-42-5</w:t>
      </w:r>
    </w:p>
    <w:p w14:paraId="1554F4E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744A65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lastRenderedPageBreak/>
        <w:t>Target: Süßwasser - Wert: 0.028 mg/l</w:t>
      </w:r>
    </w:p>
    <w:p w14:paraId="1FAF83E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Süßwasser-Sedimente - Wert: 0.614 mg/kg</w:t>
      </w:r>
    </w:p>
    <w:p w14:paraId="2B63CBEC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Meerwasser-Sedimente - Wert: 0.0614 mg/kg</w:t>
      </w:r>
    </w:p>
    <w:p w14:paraId="2E92ED8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Boden (Landwirtschaft) - Wert: 0.2 mg/kg</w:t>
      </w:r>
    </w:p>
    <w:p w14:paraId="55AE66B9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Meerwasser - Wert: 0.0028 mg/l</w:t>
      </w:r>
    </w:p>
    <w:p w14:paraId="1EA7A08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FC5FBF0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Cobalt bis(2-ethylhexanoate) - CAS: 136-52-7</w:t>
      </w:r>
    </w:p>
    <w:p w14:paraId="095EF611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B128F6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STP - Wert: 0.37 mg/l</w:t>
      </w:r>
    </w:p>
    <w:p w14:paraId="3214B9EA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Süßwasser - Wert: 0.00051 mg/l</w:t>
      </w:r>
    </w:p>
    <w:p w14:paraId="602D08C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Meerwasser - Wert: 0.00236 mg/l</w:t>
      </w:r>
    </w:p>
    <w:p w14:paraId="3AB6415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Süßwasser-Sedimente - Wert: 9.5 mg/kg</w:t>
      </w:r>
    </w:p>
    <w:p w14:paraId="7CF55CED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Meerwasser-Sedimente - Wert: 9.5 mg/kg</w:t>
      </w:r>
    </w:p>
    <w:p w14:paraId="6BFAE462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Boden (Landwirtschaft) - Wert: 7.9 mg/kg</w:t>
      </w:r>
    </w:p>
    <w:p w14:paraId="1318803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47E579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DF41070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8.2. Begrenzung und Überwachung der Exposition</w:t>
      </w:r>
    </w:p>
    <w:p w14:paraId="17279E8D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5FA3AD9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Augenschutz:</w:t>
      </w:r>
    </w:p>
    <w:p w14:paraId="4BB07671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Es muss ein Augenschutz getragen werden. Zum Beispiel: geschlossenes Sicherheitsvisier, Brillen mit Seitenschutz. Verwenden Sie</w:t>
      </w:r>
      <w:r>
        <w:rPr>
          <w:rFonts w:ascii="Arial" w:hAnsi="Arial" w:cs="Arial"/>
          <w:sz w:val="20"/>
          <w:szCs w:val="20"/>
        </w:rPr>
        <w:t xml:space="preserve"> </w:t>
      </w:r>
      <w:r w:rsidRPr="005810AC">
        <w:rPr>
          <w:rFonts w:ascii="Arial" w:hAnsi="Arial" w:cs="Arial"/>
          <w:sz w:val="20"/>
          <w:szCs w:val="20"/>
        </w:rPr>
        <w:t>keine Linsen.</w:t>
      </w:r>
    </w:p>
    <w:p w14:paraId="4BBC9E33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Hautschutz:</w:t>
      </w:r>
    </w:p>
    <w:p w14:paraId="1E0DD981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 xml:space="preserve">Kleidung tragen, die einen vollständigen Schutz der Haut garantiert, z.B. aus Baumwolle, Gummi, PVC oder </w:t>
      </w:r>
      <w:proofErr w:type="spellStart"/>
      <w:r w:rsidRPr="005810AC">
        <w:rPr>
          <w:rFonts w:ascii="Arial" w:hAnsi="Arial" w:cs="Arial"/>
          <w:sz w:val="20"/>
          <w:szCs w:val="20"/>
        </w:rPr>
        <w:t>Viton</w:t>
      </w:r>
      <w:proofErr w:type="spellEnd"/>
      <w:r w:rsidRPr="005810AC">
        <w:rPr>
          <w:rFonts w:ascii="Arial" w:hAnsi="Arial" w:cs="Arial"/>
          <w:sz w:val="20"/>
          <w:szCs w:val="20"/>
        </w:rPr>
        <w:t>.</w:t>
      </w:r>
    </w:p>
    <w:p w14:paraId="145DEE93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Handschutz:</w:t>
      </w:r>
    </w:p>
    <w:p w14:paraId="7296468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Aufgrund der synergistischen Wirkung der enthaltenen Stoffe kann kein gegenüber dieser Kombination resistenter Stoff angegeben</w:t>
      </w:r>
    </w:p>
    <w:p w14:paraId="0A1CB40A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werden.</w:t>
      </w:r>
    </w:p>
    <w:p w14:paraId="0A33950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Es können mehrschichtige Schutzhandschuhe für Stoffgemische benutzt werden.</w:t>
      </w:r>
    </w:p>
    <w:p w14:paraId="77E8627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Beachten Sie bei den unter Punkt 3 dieser technischen Daten angegebenen Stoffen grundsätzlich den vom Hersteller der</w:t>
      </w:r>
    </w:p>
    <w:p w14:paraId="291648EC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 xml:space="preserve">Schutzhandschuhe angegebenen Schutzgrad und die </w:t>
      </w:r>
      <w:proofErr w:type="spellStart"/>
      <w:r w:rsidRPr="005810AC">
        <w:rPr>
          <w:rFonts w:ascii="Arial" w:hAnsi="Arial" w:cs="Arial"/>
          <w:sz w:val="20"/>
          <w:szCs w:val="20"/>
        </w:rPr>
        <w:t>Permeationsrate</w:t>
      </w:r>
      <w:proofErr w:type="spellEnd"/>
    </w:p>
    <w:p w14:paraId="56F8498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Atemschutz:</w:t>
      </w:r>
    </w:p>
    <w:p w14:paraId="0E2A4219" w14:textId="10DD4BD1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Einen angemessenen Atemschutz verwenden, z.B.A2 oder A2P2 o</w:t>
      </w:r>
      <w:r w:rsidR="007931CF">
        <w:rPr>
          <w:rFonts w:ascii="Arial" w:hAnsi="Arial" w:cs="Arial"/>
          <w:sz w:val="20"/>
          <w:szCs w:val="20"/>
        </w:rPr>
        <w:t>der</w:t>
      </w:r>
      <w:r w:rsidRPr="005810AC">
        <w:rPr>
          <w:rFonts w:ascii="Arial" w:hAnsi="Arial" w:cs="Arial"/>
          <w:sz w:val="20"/>
          <w:szCs w:val="20"/>
        </w:rPr>
        <w:t xml:space="preserve"> A2P3.</w:t>
      </w:r>
    </w:p>
    <w:p w14:paraId="06368271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Wärmerisiken:</w:t>
      </w:r>
    </w:p>
    <w:p w14:paraId="7436D5D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Nicht bekannt</w:t>
      </w:r>
    </w:p>
    <w:p w14:paraId="76B72439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Kontrollen der Umweltexposition:</w:t>
      </w:r>
    </w:p>
    <w:p w14:paraId="6AF58DAC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Nicht bekannt</w:t>
      </w:r>
    </w:p>
    <w:p w14:paraId="69490022" w14:textId="735E29A8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 xml:space="preserve">Geeignete technische </w:t>
      </w:r>
      <w:proofErr w:type="spellStart"/>
      <w:proofErr w:type="gramStart"/>
      <w:r w:rsidRPr="005810AC">
        <w:rPr>
          <w:rFonts w:ascii="Arial" w:hAnsi="Arial" w:cs="Arial"/>
          <w:sz w:val="20"/>
          <w:szCs w:val="20"/>
        </w:rPr>
        <w:t>Ma</w:t>
      </w:r>
      <w:r w:rsidR="007931CF">
        <w:rPr>
          <w:rFonts w:ascii="Arial" w:hAnsi="Arial" w:cs="Arial"/>
          <w:sz w:val="20"/>
          <w:szCs w:val="20"/>
        </w:rPr>
        <w:t>ss</w:t>
      </w:r>
      <w:r w:rsidRPr="005810AC">
        <w:rPr>
          <w:rFonts w:ascii="Arial" w:hAnsi="Arial" w:cs="Arial"/>
          <w:sz w:val="20"/>
          <w:szCs w:val="20"/>
        </w:rPr>
        <w:t>na</w:t>
      </w:r>
      <w:r w:rsidR="007931CF">
        <w:rPr>
          <w:rFonts w:ascii="Arial" w:hAnsi="Arial" w:cs="Arial"/>
          <w:sz w:val="20"/>
          <w:szCs w:val="20"/>
        </w:rPr>
        <w:t>h</w:t>
      </w:r>
      <w:r w:rsidRPr="005810AC">
        <w:rPr>
          <w:rFonts w:ascii="Arial" w:hAnsi="Arial" w:cs="Arial"/>
          <w:sz w:val="20"/>
          <w:szCs w:val="20"/>
        </w:rPr>
        <w:t>men</w:t>
      </w:r>
      <w:proofErr w:type="spellEnd"/>
      <w:r w:rsidR="007931CF">
        <w:rPr>
          <w:rFonts w:ascii="Arial" w:hAnsi="Arial" w:cs="Arial"/>
          <w:sz w:val="20"/>
          <w:szCs w:val="20"/>
        </w:rPr>
        <w:t xml:space="preserve"> </w:t>
      </w:r>
      <w:r w:rsidRPr="005810AC">
        <w:rPr>
          <w:rFonts w:ascii="Arial" w:hAnsi="Arial" w:cs="Arial"/>
          <w:sz w:val="20"/>
          <w:szCs w:val="20"/>
        </w:rPr>
        <w:t>:</w:t>
      </w:r>
      <w:proofErr w:type="gramEnd"/>
    </w:p>
    <w:p w14:paraId="309713E9" w14:textId="77777777" w:rsidR="003F5448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Keine</w:t>
      </w:r>
    </w:p>
    <w:p w14:paraId="5F355D34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1D4579B8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0D5B5BEB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5810AC">
        <w:rPr>
          <w:rFonts w:ascii="Arial" w:hAnsi="Arial" w:cs="Arial"/>
          <w:b/>
          <w:bCs/>
          <w:color w:val="0000FF"/>
          <w:sz w:val="20"/>
          <w:szCs w:val="20"/>
        </w:rPr>
        <w:t>ABSCHNITT 9: Physikalische und chemische Eigenschaften</w:t>
      </w:r>
    </w:p>
    <w:p w14:paraId="04E1F235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6B1598B1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9.1. Angaben zu den grundlegenden physikalischen und chemischen Eigenschaften</w:t>
      </w:r>
    </w:p>
    <w:p w14:paraId="368FBC6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33BB03B" w14:textId="52D391DB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Aussehen und Farbe: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212B0F">
        <w:rPr>
          <w:rFonts w:ascii="Arial" w:hAnsi="Arial" w:cs="Arial"/>
          <w:color w:val="000000"/>
          <w:sz w:val="20"/>
          <w:szCs w:val="20"/>
        </w:rPr>
        <w:t>thixotroph</w:t>
      </w:r>
      <w:proofErr w:type="spellEnd"/>
      <w:r w:rsidR="00212B0F">
        <w:rPr>
          <w:rFonts w:ascii="Arial" w:hAnsi="Arial" w:cs="Arial"/>
          <w:color w:val="000000"/>
          <w:sz w:val="20"/>
          <w:szCs w:val="20"/>
        </w:rPr>
        <w:t xml:space="preserve"> farblos bis bunt</w:t>
      </w:r>
    </w:p>
    <w:p w14:paraId="63E4A817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Geruch: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c</w:t>
      </w:r>
      <w:r w:rsidR="004B67C5">
        <w:rPr>
          <w:rFonts w:ascii="Arial" w:hAnsi="Arial" w:cs="Arial"/>
          <w:color w:val="000000"/>
          <w:sz w:val="20"/>
          <w:szCs w:val="20"/>
        </w:rPr>
        <w:t>h</w:t>
      </w:r>
      <w:r w:rsidRPr="005810AC">
        <w:rPr>
          <w:rFonts w:ascii="Arial" w:hAnsi="Arial" w:cs="Arial"/>
          <w:color w:val="000000"/>
          <w:sz w:val="20"/>
          <w:szCs w:val="20"/>
        </w:rPr>
        <w:t>arakteristisch</w:t>
      </w:r>
    </w:p>
    <w:p w14:paraId="56116055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Geruchsschwelle: 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73A97EE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pH: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4875946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Schmelzpunkt/Gefrierpunkt: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&lt; 1° C</w:t>
      </w:r>
    </w:p>
    <w:p w14:paraId="61CBB18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Unterer Siedepunkt und Siedeintervall: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&gt; 55° C</w:t>
      </w:r>
    </w:p>
    <w:p w14:paraId="5E65532A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Entzündbarkeit Festkörper/Gas: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7034600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Oberer/unterer Flamm- bzw. Explosionspunkt: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2454CA5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Dampfdichte: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63E3C86B" w14:textId="213D1E13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Flammpunkt: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 xml:space="preserve">23°C &lt;= </w:t>
      </w:r>
      <w:proofErr w:type="spellStart"/>
      <w:r w:rsidR="007931CF">
        <w:rPr>
          <w:rFonts w:ascii="Arial" w:hAnsi="Arial" w:cs="Arial"/>
          <w:color w:val="000000"/>
          <w:sz w:val="20"/>
          <w:szCs w:val="20"/>
        </w:rPr>
        <w:t>F</w:t>
      </w:r>
      <w:r w:rsidRPr="005810AC">
        <w:rPr>
          <w:rFonts w:ascii="Arial" w:hAnsi="Arial" w:cs="Arial"/>
          <w:color w:val="000000"/>
          <w:sz w:val="20"/>
          <w:szCs w:val="20"/>
        </w:rPr>
        <w:t>p</w:t>
      </w:r>
      <w:proofErr w:type="spellEnd"/>
      <w:r w:rsidRPr="005810AC">
        <w:rPr>
          <w:rFonts w:ascii="Arial" w:hAnsi="Arial" w:cs="Arial"/>
          <w:color w:val="000000"/>
          <w:sz w:val="20"/>
          <w:szCs w:val="20"/>
        </w:rPr>
        <w:t xml:space="preserve"> &lt;= 60°C</w:t>
      </w:r>
    </w:p>
    <w:p w14:paraId="348C960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Verdampfungsgeschwindigkeit: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1064464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Dampfdruck: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71E84942" w14:textId="047AB4BA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Dichtezahl: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1.</w:t>
      </w:r>
      <w:r w:rsidR="00212B0F">
        <w:rPr>
          <w:rFonts w:ascii="Arial" w:hAnsi="Arial" w:cs="Arial"/>
          <w:color w:val="000000"/>
          <w:sz w:val="20"/>
          <w:szCs w:val="20"/>
        </w:rPr>
        <w:t>25</w:t>
      </w:r>
      <w:r w:rsidR="00C8003A">
        <w:rPr>
          <w:rFonts w:ascii="Arial" w:hAnsi="Arial" w:cs="Arial"/>
          <w:color w:val="000000"/>
          <w:sz w:val="20"/>
          <w:szCs w:val="20"/>
        </w:rPr>
        <w:t>0</w:t>
      </w:r>
      <w:r w:rsidRPr="005810AC">
        <w:rPr>
          <w:rFonts w:ascii="Arial" w:hAnsi="Arial" w:cs="Arial"/>
          <w:color w:val="000000"/>
          <w:sz w:val="20"/>
          <w:szCs w:val="20"/>
        </w:rPr>
        <w:t xml:space="preserve"> Kg/l a 20°C</w:t>
      </w:r>
    </w:p>
    <w:p w14:paraId="2864A07E" w14:textId="7DBF62FD" w:rsidR="00C8003A" w:rsidRPr="005810AC" w:rsidRDefault="00C8003A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Viskosität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212B0F">
        <w:rPr>
          <w:rFonts w:ascii="Arial" w:hAnsi="Arial" w:cs="Arial"/>
          <w:color w:val="000000"/>
          <w:sz w:val="20"/>
          <w:szCs w:val="20"/>
        </w:rPr>
        <w:t>3000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="00212B0F"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>000mPaxsec</w:t>
      </w:r>
    </w:p>
    <w:p w14:paraId="774F6FC5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Wasserlöslichkeit: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3D7FD01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lastRenderedPageBreak/>
        <w:t xml:space="preserve">Löslichkeit in Öl: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6B5E5E5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Partitionskoeffizient (n-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</w:rPr>
        <w:t>Oktanol</w:t>
      </w:r>
      <w:proofErr w:type="spellEnd"/>
      <w:r w:rsidRPr="005810AC">
        <w:rPr>
          <w:rFonts w:ascii="Arial" w:hAnsi="Arial" w:cs="Arial"/>
          <w:color w:val="000000"/>
          <w:sz w:val="20"/>
          <w:szCs w:val="20"/>
        </w:rPr>
        <w:t xml:space="preserve">/Wasser):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1E55151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Selbstentzündungstemperatur: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&gt; 250° C</w:t>
      </w:r>
    </w:p>
    <w:p w14:paraId="411771F8" w14:textId="7D30E5F2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Zerfall</w:t>
      </w:r>
      <w:r w:rsidR="007931CF">
        <w:rPr>
          <w:rFonts w:ascii="Arial" w:hAnsi="Arial" w:cs="Arial"/>
          <w:color w:val="000000"/>
          <w:sz w:val="20"/>
          <w:szCs w:val="20"/>
        </w:rPr>
        <w:t>s</w:t>
      </w:r>
      <w:r w:rsidRPr="005810AC">
        <w:rPr>
          <w:rFonts w:ascii="Arial" w:hAnsi="Arial" w:cs="Arial"/>
          <w:color w:val="000000"/>
          <w:sz w:val="20"/>
          <w:szCs w:val="20"/>
        </w:rPr>
        <w:t xml:space="preserve">temperatur: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3B7C03AC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Explosionsgrenzen: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1FA5A96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Brennvermögen: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316014E1" w14:textId="77777777" w:rsidR="004B67C5" w:rsidRDefault="004B67C5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E0DD461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9.2. Sonstige Angaben</w:t>
      </w:r>
    </w:p>
    <w:p w14:paraId="03996283" w14:textId="77777777" w:rsidR="004B67C5" w:rsidRPr="005810AC" w:rsidRDefault="004B67C5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E64E3D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Mischbarkeit: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6F85043E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Fettlöslichkeit: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5D00C29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Leitfähigkeit: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01373099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Typische Eigenschaften der Stoffgruppen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3D500119" w14:textId="77777777" w:rsidR="004B67C5" w:rsidRDefault="004B67C5" w:rsidP="005810A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4146F9AB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4B67C5">
        <w:rPr>
          <w:rFonts w:ascii="Arial" w:hAnsi="Arial" w:cs="Arial"/>
          <w:b/>
          <w:bCs/>
          <w:color w:val="0000FF"/>
          <w:sz w:val="20"/>
          <w:szCs w:val="20"/>
        </w:rPr>
        <w:t>ABSCHNITT 10: Stabilität und Reaktivität</w:t>
      </w:r>
    </w:p>
    <w:p w14:paraId="5AE4F567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1CA759EB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10.1. Reaktivität</w:t>
      </w:r>
    </w:p>
    <w:p w14:paraId="5B315C9E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FBB07D9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Stabil unter Normalbedingungen</w:t>
      </w:r>
    </w:p>
    <w:p w14:paraId="1528B945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65850B3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10.2. Chemische Stabilität</w:t>
      </w:r>
    </w:p>
    <w:p w14:paraId="151CCB8E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CB9C8FA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Stabil unter Normalbedingungen</w:t>
      </w:r>
    </w:p>
    <w:p w14:paraId="4E5FCFBF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CB1C3AE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10.3. Möglichkeit gefährlicher Reaktionen</w:t>
      </w:r>
    </w:p>
    <w:p w14:paraId="5AACB643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ED91031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Keine gefährliche Reaktion bei korrekter Lagerung und Anwendung</w:t>
      </w:r>
    </w:p>
    <w:p w14:paraId="584EF833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894928B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10.4. Zu vermeidende Bedingungen</w:t>
      </w:r>
    </w:p>
    <w:p w14:paraId="26C6CC6B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39CEA41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Elektrostatische Aufladung vermeiden.</w:t>
      </w:r>
    </w:p>
    <w:p w14:paraId="25D3A119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Die Dämpfe können in Kombination mit Luft explosive Gemische bilden.</w:t>
      </w:r>
    </w:p>
    <w:p w14:paraId="42D7FB9F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2DCDDCC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10.5. Unverträgliche Materialien</w:t>
      </w:r>
    </w:p>
    <w:p w14:paraId="1E35CF8D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1681231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Jede Berührung mit brennbaren Stoffen vermeiden: Brandgefahr.</w:t>
      </w:r>
    </w:p>
    <w:p w14:paraId="608E9D98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A40A81C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10.6. Gefährliche Zersetzungsprodukte</w:t>
      </w:r>
    </w:p>
    <w:p w14:paraId="7D7E167B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931647E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Keine.</w:t>
      </w:r>
    </w:p>
    <w:p w14:paraId="26E920B3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8982E38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1320736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74B9FE5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4B67C5">
        <w:rPr>
          <w:rFonts w:ascii="Arial" w:hAnsi="Arial" w:cs="Arial"/>
          <w:b/>
          <w:bCs/>
          <w:color w:val="0000FF"/>
          <w:sz w:val="20"/>
          <w:szCs w:val="20"/>
        </w:rPr>
        <w:t>ABSCHNITT 11: Toxikologische Angaben</w:t>
      </w:r>
    </w:p>
    <w:p w14:paraId="0B420902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7F604C04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11.1. Angaben zu toxikologischen Wirkungen</w:t>
      </w:r>
    </w:p>
    <w:p w14:paraId="2C5141CC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455EAD4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Toxikologische Informationen zur Mischung:</w:t>
      </w:r>
    </w:p>
    <w:p w14:paraId="2F1E97F1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N.A.</w:t>
      </w:r>
    </w:p>
    <w:p w14:paraId="43B7B29F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94C4ED5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Toxikologische Informationen zu den Hauptbestandteilen der Mischung:</w:t>
      </w:r>
    </w:p>
    <w:p w14:paraId="7F792FBF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729A1A7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4B67C5">
        <w:rPr>
          <w:rFonts w:ascii="Arial" w:hAnsi="Arial" w:cs="Arial"/>
          <w:color w:val="000000"/>
          <w:sz w:val="20"/>
          <w:szCs w:val="20"/>
          <w:lang w:val="en-US"/>
        </w:rPr>
        <w:t>Styrol</w:t>
      </w:r>
      <w:proofErr w:type="spellEnd"/>
      <w:r w:rsidRPr="004B67C5">
        <w:rPr>
          <w:rFonts w:ascii="Arial" w:hAnsi="Arial" w:cs="Arial"/>
          <w:color w:val="000000"/>
          <w:sz w:val="20"/>
          <w:szCs w:val="20"/>
          <w:lang w:val="en-US"/>
        </w:rPr>
        <w:t xml:space="preserve"> - CAS: 100-42-5</w:t>
      </w:r>
    </w:p>
    <w:p w14:paraId="432B79D4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5EDA503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4B67C5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spellStart"/>
      <w:r w:rsidRPr="004B67C5">
        <w:rPr>
          <w:rFonts w:ascii="Arial" w:hAnsi="Arial" w:cs="Arial"/>
          <w:color w:val="000000"/>
          <w:sz w:val="20"/>
          <w:szCs w:val="20"/>
          <w:lang w:val="en-US"/>
        </w:rPr>
        <w:t>akute</w:t>
      </w:r>
      <w:proofErr w:type="spellEnd"/>
      <w:r w:rsidRPr="004B67C5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B67C5">
        <w:rPr>
          <w:rFonts w:ascii="Arial" w:hAnsi="Arial" w:cs="Arial"/>
          <w:color w:val="000000"/>
          <w:sz w:val="20"/>
          <w:szCs w:val="20"/>
          <w:lang w:val="en-US"/>
        </w:rPr>
        <w:t>Toxizität</w:t>
      </w:r>
      <w:proofErr w:type="spellEnd"/>
      <w:r w:rsidRPr="004B67C5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14:paraId="38E04C9E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Test: LC50 - Weg: Einatmen - Spezies: Ratte = 11.8 mg/l - Laufzeit: 4h</w:t>
      </w:r>
    </w:p>
    <w:p w14:paraId="0FE80BDD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Test: LD50 - Weg: Oral - Spezies: Ratte = 2650 mg/kg</w:t>
      </w:r>
    </w:p>
    <w:p w14:paraId="541BD52E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Test: LD50 - Weg: Haut - Spezies: Ratte &gt; 2000 mg/kg</w:t>
      </w:r>
    </w:p>
    <w:p w14:paraId="4ACE32E2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382D487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Cobalt bis(2-ethylhexanoate) - CAS: 136-52-7</w:t>
      </w:r>
    </w:p>
    <w:p w14:paraId="2D202360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4F9D5AB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lastRenderedPageBreak/>
        <w:t>a) akute Toxizität:</w:t>
      </w:r>
    </w:p>
    <w:p w14:paraId="3F86D903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Test: LD50 - Weg: Haut - Spezies: Kaninchen &gt; 5 g/kg</w:t>
      </w:r>
    </w:p>
    <w:p w14:paraId="33402467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Test: LC50 - Weg: Einatembares Gas - Spezies: Ratte = 5000 Ppm - Laufzeit: 4h</w:t>
      </w:r>
    </w:p>
    <w:p w14:paraId="3EC154DE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Test: LD50 - Weg: Oral - Spezies: Maus = 2119 mg/kg</w:t>
      </w:r>
    </w:p>
    <w:p w14:paraId="19E18D23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Test: LD50 - Weg: Oral - Spezies: Ratte = 4300 mg/kg</w:t>
      </w:r>
    </w:p>
    <w:p w14:paraId="7CF02BF0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62548DC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0F691B7B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4B67C5">
        <w:rPr>
          <w:rFonts w:ascii="Arial" w:hAnsi="Arial" w:cs="Arial"/>
          <w:b/>
          <w:bCs/>
          <w:color w:val="0000FF"/>
          <w:sz w:val="20"/>
          <w:szCs w:val="20"/>
        </w:rPr>
        <w:t>ABSCHNITT 12: Umweltbezogene Angaben</w:t>
      </w:r>
    </w:p>
    <w:p w14:paraId="4E500564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6EEBA0A5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12.1. Toxizität</w:t>
      </w:r>
    </w:p>
    <w:p w14:paraId="607ED98B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D6C9038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Im Einklang mit der GLP verwenden, nicht herumliegen lassen.</w:t>
      </w:r>
    </w:p>
    <w:p w14:paraId="48E5B5AB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F774EBE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Styrol - CAS: 100-42-5</w:t>
      </w:r>
    </w:p>
    <w:p w14:paraId="0F149EE6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520A929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a) Akute aquatische Toxizität:</w:t>
      </w:r>
    </w:p>
    <w:p w14:paraId="710647EF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Endpunkt: LC50 - Spezies: Fische = 4.02 mg/l - Dauer / h: 96</w:t>
      </w:r>
    </w:p>
    <w:p w14:paraId="190284F4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Endpunkt: EC50 - Spezies: Algen = 4.9 mg/l - Dauer / h: 72</w:t>
      </w:r>
    </w:p>
    <w:p w14:paraId="10B33220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Endpunkt: EC50 - Spezies: Daphnien = 4.7 mg/l - Dauer / h: 48</w:t>
      </w:r>
    </w:p>
    <w:p w14:paraId="4596B2EB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467E7EA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138A046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4B67C5">
        <w:rPr>
          <w:rFonts w:ascii="Arial" w:hAnsi="Arial" w:cs="Arial"/>
          <w:b/>
          <w:bCs/>
          <w:color w:val="0000FF"/>
          <w:sz w:val="20"/>
          <w:szCs w:val="20"/>
        </w:rPr>
        <w:t>ABSCHNITT 13: Hinweise zur Entsorgung</w:t>
      </w:r>
    </w:p>
    <w:p w14:paraId="146973FA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2C92E96E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13.1. Verfahren der Abfallbehandlung</w:t>
      </w:r>
    </w:p>
    <w:p w14:paraId="1B11EFDD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A2BAF07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Nach Möglichkeit wiederverwerten. Behördlich zugelassenen Deponien oder Verbrennungsanlagen zuführen. Entsprechend den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B67C5">
        <w:rPr>
          <w:rFonts w:ascii="Arial" w:hAnsi="Arial" w:cs="Arial"/>
          <w:color w:val="000000"/>
          <w:sz w:val="20"/>
          <w:szCs w:val="20"/>
        </w:rPr>
        <w:t>geltenden örtlichen und nationalen Bestimmungen vorgehen.</w:t>
      </w:r>
    </w:p>
    <w:p w14:paraId="18E66CCC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Wo möglich auf die folgenden Normen Bezug nehmen: 91/156/EWG, 91/689/EWG, 94/62/EG und nachfolgende Ergänzungen.</w:t>
      </w:r>
    </w:p>
    <w:p w14:paraId="5AE88C00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64FB731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B338873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3067FB6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0B5E6474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F4068DE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503E55E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182FD06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93199A9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EE0B100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4B67C5">
        <w:rPr>
          <w:rFonts w:ascii="Arial" w:hAnsi="Arial" w:cs="Arial"/>
          <w:b/>
          <w:bCs/>
          <w:color w:val="0000FF"/>
          <w:sz w:val="20"/>
          <w:szCs w:val="20"/>
        </w:rPr>
        <w:t>ABSCHNITT 14: Angaben zum Transport</w:t>
      </w:r>
    </w:p>
    <w:p w14:paraId="4CF32737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27343722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14.1. UN-Nummer</w:t>
      </w:r>
    </w:p>
    <w:p w14:paraId="1933D823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4F786CF" w14:textId="1551FCCA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ADR-UN Num</w:t>
      </w:r>
      <w:r w:rsidR="007931CF">
        <w:rPr>
          <w:rFonts w:ascii="Arial" w:hAnsi="Arial" w:cs="Arial"/>
          <w:color w:val="000000"/>
          <w:sz w:val="20"/>
          <w:szCs w:val="20"/>
        </w:rPr>
        <w:t>m</w:t>
      </w:r>
      <w:r w:rsidRPr="004B67C5">
        <w:rPr>
          <w:rFonts w:ascii="Arial" w:hAnsi="Arial" w:cs="Arial"/>
          <w:color w:val="000000"/>
          <w:sz w:val="20"/>
          <w:szCs w:val="20"/>
        </w:rPr>
        <w:t>er: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1</w:t>
      </w:r>
      <w:r w:rsidR="00C8003A">
        <w:rPr>
          <w:rFonts w:ascii="Arial" w:hAnsi="Arial" w:cs="Arial"/>
          <w:color w:val="000000"/>
          <w:sz w:val="20"/>
          <w:szCs w:val="20"/>
        </w:rPr>
        <w:t>866</w:t>
      </w:r>
    </w:p>
    <w:p w14:paraId="56FBBA12" w14:textId="068DD796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IATA-U</w:t>
      </w:r>
      <w:r w:rsidR="007931CF">
        <w:rPr>
          <w:rFonts w:ascii="Arial" w:hAnsi="Arial" w:cs="Arial"/>
          <w:color w:val="000000"/>
          <w:sz w:val="20"/>
          <w:szCs w:val="20"/>
        </w:rPr>
        <w:t>N</w:t>
      </w:r>
      <w:r w:rsidRPr="004B67C5">
        <w:rPr>
          <w:rFonts w:ascii="Arial" w:hAnsi="Arial" w:cs="Arial"/>
          <w:color w:val="000000"/>
          <w:sz w:val="20"/>
          <w:szCs w:val="20"/>
        </w:rPr>
        <w:t xml:space="preserve">-Nummer: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1</w:t>
      </w:r>
      <w:r w:rsidR="00C8003A">
        <w:rPr>
          <w:rFonts w:ascii="Arial" w:hAnsi="Arial" w:cs="Arial"/>
          <w:color w:val="000000"/>
          <w:sz w:val="20"/>
          <w:szCs w:val="20"/>
        </w:rPr>
        <w:t>866</w:t>
      </w:r>
    </w:p>
    <w:p w14:paraId="121E1C95" w14:textId="4D38D9FE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IMDG-U</w:t>
      </w:r>
      <w:r w:rsidR="007931CF">
        <w:rPr>
          <w:rFonts w:ascii="Arial" w:hAnsi="Arial" w:cs="Arial"/>
          <w:color w:val="000000"/>
          <w:sz w:val="20"/>
          <w:szCs w:val="20"/>
        </w:rPr>
        <w:t>N</w:t>
      </w:r>
      <w:r w:rsidRPr="004B67C5">
        <w:rPr>
          <w:rFonts w:ascii="Arial" w:hAnsi="Arial" w:cs="Arial"/>
          <w:color w:val="000000"/>
          <w:sz w:val="20"/>
          <w:szCs w:val="20"/>
        </w:rPr>
        <w:t xml:space="preserve"> Nummer: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1</w:t>
      </w:r>
      <w:r w:rsidR="00C8003A">
        <w:rPr>
          <w:rFonts w:ascii="Arial" w:hAnsi="Arial" w:cs="Arial"/>
          <w:color w:val="000000"/>
          <w:sz w:val="20"/>
          <w:szCs w:val="20"/>
        </w:rPr>
        <w:t>866</w:t>
      </w:r>
    </w:p>
    <w:p w14:paraId="283B4404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4AD16A9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14.2. Ordnungsgemäße UN-Versandbezeichnung</w:t>
      </w:r>
    </w:p>
    <w:p w14:paraId="7F4B16A0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EE50B20" w14:textId="4362CD45" w:rsidR="004B67C5" w:rsidRPr="004B67C5" w:rsidRDefault="004B67C5" w:rsidP="00C8003A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ADR-Shipping Name: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bookmarkStart w:id="0" w:name="_Hlk49334200"/>
      <w:r w:rsidR="00C8003A">
        <w:rPr>
          <w:rFonts w:ascii="Arial" w:hAnsi="Arial" w:cs="Arial"/>
          <w:color w:val="000000"/>
          <w:sz w:val="20"/>
          <w:szCs w:val="20"/>
        </w:rPr>
        <w:t>Harzlösung, entzündbar</w:t>
      </w:r>
    </w:p>
    <w:bookmarkEnd w:id="0"/>
    <w:p w14:paraId="5A7BEBF5" w14:textId="77777777" w:rsidR="00C8003A" w:rsidRPr="004B67C5" w:rsidRDefault="004B67C5" w:rsidP="00C8003A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IATA-Shipping Name: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C8003A">
        <w:rPr>
          <w:rFonts w:ascii="Arial" w:hAnsi="Arial" w:cs="Arial"/>
          <w:color w:val="000000"/>
          <w:sz w:val="20"/>
          <w:szCs w:val="20"/>
        </w:rPr>
        <w:t>Harzlösung, entzündbar</w:t>
      </w:r>
    </w:p>
    <w:p w14:paraId="021C659D" w14:textId="77777777" w:rsidR="00C8003A" w:rsidRPr="004B67C5" w:rsidRDefault="004B67C5" w:rsidP="00C8003A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IMDG-Shipping Name: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C8003A">
        <w:rPr>
          <w:rFonts w:ascii="Arial" w:hAnsi="Arial" w:cs="Arial"/>
          <w:color w:val="000000"/>
          <w:sz w:val="20"/>
          <w:szCs w:val="20"/>
        </w:rPr>
        <w:t>Harzlösung, entzündbar</w:t>
      </w:r>
    </w:p>
    <w:p w14:paraId="52F05E39" w14:textId="1672FC99" w:rsidR="004B67C5" w:rsidRDefault="004B67C5" w:rsidP="00C800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14.3. Transportgefahrenklassen</w:t>
      </w:r>
    </w:p>
    <w:p w14:paraId="6A5B860C" w14:textId="77777777" w:rsidR="00057053" w:rsidRPr="004B67C5" w:rsidRDefault="00057053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432764A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ADR-Straßentransport: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3</w:t>
      </w:r>
    </w:p>
    <w:p w14:paraId="2EF0DF5B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ADR-Etikett: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3</w:t>
      </w:r>
    </w:p>
    <w:p w14:paraId="69B5842B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ADR - Gefahrnummer: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33</w:t>
      </w:r>
    </w:p>
    <w:p w14:paraId="739C44DA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IATA-Klasse: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3</w:t>
      </w:r>
    </w:p>
    <w:p w14:paraId="4D0A5A3A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IATA-Etikett: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3</w:t>
      </w:r>
    </w:p>
    <w:p w14:paraId="213446CD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IMDG-Klasse: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3</w:t>
      </w:r>
    </w:p>
    <w:p w14:paraId="6D8CF73E" w14:textId="77777777" w:rsidR="00057053" w:rsidRPr="004B67C5" w:rsidRDefault="00057053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3F5FE62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14.4. Verpackungsgruppe</w:t>
      </w:r>
    </w:p>
    <w:p w14:paraId="1F2CCEFE" w14:textId="77777777" w:rsidR="00057053" w:rsidRPr="004B67C5" w:rsidRDefault="00057053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50DB480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ADR-Verpackungsgruppe: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II</w:t>
      </w:r>
    </w:p>
    <w:p w14:paraId="49D25E41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IATA-Verpackungsgruppe: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II</w:t>
      </w:r>
    </w:p>
    <w:p w14:paraId="2676AF98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IMDG-Verpackungsgruppe: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II</w:t>
      </w:r>
    </w:p>
    <w:p w14:paraId="323B14BD" w14:textId="77777777" w:rsidR="00057053" w:rsidRPr="004B67C5" w:rsidRDefault="00057053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F976B2E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14.5. Umweltgefahren</w:t>
      </w:r>
    </w:p>
    <w:p w14:paraId="0EF7995B" w14:textId="77777777" w:rsidR="00057053" w:rsidRPr="004B67C5" w:rsidRDefault="00057053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BC30323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14.6. Besondere Vorsichtsmaßnahmen für den Verwender</w:t>
      </w:r>
    </w:p>
    <w:p w14:paraId="135C2FB5" w14:textId="77777777" w:rsidR="00057053" w:rsidRPr="004B67C5" w:rsidRDefault="00057053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29EEC00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ADR-Tunnelbeschränkungscode: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2 (D/E)</w:t>
      </w:r>
    </w:p>
    <w:p w14:paraId="35D08D26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IATA-Passagier-</w:t>
      </w:r>
      <w:proofErr w:type="spellStart"/>
      <w:r w:rsidRPr="004B67C5">
        <w:rPr>
          <w:rFonts w:ascii="Arial" w:hAnsi="Arial" w:cs="Arial"/>
          <w:color w:val="000000"/>
          <w:sz w:val="20"/>
          <w:szCs w:val="20"/>
        </w:rPr>
        <w:t>Luftrfracht</w:t>
      </w:r>
      <w:proofErr w:type="spellEnd"/>
      <w:r w:rsidRPr="004B67C5">
        <w:rPr>
          <w:rFonts w:ascii="Arial" w:hAnsi="Arial" w:cs="Arial"/>
          <w:color w:val="000000"/>
          <w:sz w:val="20"/>
          <w:szCs w:val="20"/>
        </w:rPr>
        <w:t>: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353</w:t>
      </w:r>
    </w:p>
    <w:p w14:paraId="1CC3B9C8" w14:textId="77777777" w:rsidR="004B67C5" w:rsidRPr="00C8003A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8003A">
        <w:rPr>
          <w:rFonts w:ascii="Arial" w:hAnsi="Arial" w:cs="Arial"/>
          <w:color w:val="000000"/>
          <w:sz w:val="20"/>
          <w:szCs w:val="20"/>
        </w:rPr>
        <w:t xml:space="preserve">IATA-Cargo Luftfracht: </w:t>
      </w:r>
      <w:r w:rsidR="00057053" w:rsidRPr="00C8003A">
        <w:rPr>
          <w:rFonts w:ascii="Arial" w:hAnsi="Arial" w:cs="Arial"/>
          <w:color w:val="000000"/>
          <w:sz w:val="20"/>
          <w:szCs w:val="20"/>
        </w:rPr>
        <w:tab/>
      </w:r>
      <w:r w:rsidR="00057053" w:rsidRPr="00C8003A">
        <w:rPr>
          <w:rFonts w:ascii="Arial" w:hAnsi="Arial" w:cs="Arial"/>
          <w:color w:val="000000"/>
          <w:sz w:val="20"/>
          <w:szCs w:val="20"/>
        </w:rPr>
        <w:tab/>
      </w:r>
      <w:r w:rsidR="00057053" w:rsidRPr="00C8003A">
        <w:rPr>
          <w:rFonts w:ascii="Arial" w:hAnsi="Arial" w:cs="Arial"/>
          <w:color w:val="000000"/>
          <w:sz w:val="20"/>
          <w:szCs w:val="20"/>
        </w:rPr>
        <w:tab/>
      </w:r>
      <w:r w:rsidRPr="00C8003A">
        <w:rPr>
          <w:rFonts w:ascii="Arial" w:hAnsi="Arial" w:cs="Arial"/>
          <w:color w:val="000000"/>
          <w:sz w:val="20"/>
          <w:szCs w:val="20"/>
        </w:rPr>
        <w:t>364</w:t>
      </w:r>
    </w:p>
    <w:p w14:paraId="49668D6C" w14:textId="7B31EBBC" w:rsidR="004B67C5" w:rsidRPr="00C8003A" w:rsidRDefault="004B67C5" w:rsidP="00C800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8003A">
        <w:rPr>
          <w:rFonts w:ascii="Arial" w:hAnsi="Arial" w:cs="Arial"/>
          <w:color w:val="000000"/>
          <w:sz w:val="20"/>
          <w:szCs w:val="20"/>
        </w:rPr>
        <w:t xml:space="preserve">IMDG-Technische Bezeichnung: </w:t>
      </w:r>
      <w:r w:rsidR="00057053" w:rsidRPr="00C8003A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C8003A" w:rsidRPr="00C8003A">
        <w:rPr>
          <w:rFonts w:ascii="Arial" w:hAnsi="Arial" w:cs="Arial"/>
          <w:color w:val="000000"/>
          <w:sz w:val="20"/>
          <w:szCs w:val="20"/>
        </w:rPr>
        <w:t>R</w:t>
      </w:r>
      <w:r w:rsidR="00C8003A">
        <w:rPr>
          <w:rFonts w:ascii="Arial" w:hAnsi="Arial" w:cs="Arial"/>
          <w:color w:val="000000"/>
          <w:sz w:val="20"/>
          <w:szCs w:val="20"/>
        </w:rPr>
        <w:t>esine</w:t>
      </w:r>
      <w:proofErr w:type="spellEnd"/>
      <w:r w:rsidR="00DB3813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DB3813">
        <w:rPr>
          <w:rFonts w:ascii="Arial" w:hAnsi="Arial" w:cs="Arial"/>
          <w:color w:val="000000"/>
          <w:sz w:val="20"/>
          <w:szCs w:val="20"/>
        </w:rPr>
        <w:t>flammable</w:t>
      </w:r>
      <w:proofErr w:type="spellEnd"/>
      <w:r w:rsidR="00DB3813">
        <w:rPr>
          <w:rFonts w:ascii="Arial" w:hAnsi="Arial" w:cs="Arial"/>
          <w:color w:val="000000"/>
          <w:sz w:val="20"/>
          <w:szCs w:val="20"/>
        </w:rPr>
        <w:t xml:space="preserve"> Liquid</w:t>
      </w:r>
    </w:p>
    <w:p w14:paraId="7E4C3FF9" w14:textId="77777777" w:rsidR="004B67C5" w:rsidRPr="003E2C61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E2C61">
        <w:rPr>
          <w:rFonts w:ascii="Arial" w:hAnsi="Arial" w:cs="Arial"/>
          <w:color w:val="000000"/>
          <w:sz w:val="20"/>
          <w:szCs w:val="20"/>
        </w:rPr>
        <w:t xml:space="preserve">IMDG-EMS: </w:t>
      </w:r>
      <w:r w:rsidR="00057053" w:rsidRPr="003E2C61">
        <w:rPr>
          <w:rFonts w:ascii="Arial" w:hAnsi="Arial" w:cs="Arial"/>
          <w:color w:val="000000"/>
          <w:sz w:val="20"/>
          <w:szCs w:val="20"/>
        </w:rPr>
        <w:tab/>
      </w:r>
      <w:r w:rsidR="00057053" w:rsidRPr="003E2C61">
        <w:rPr>
          <w:rFonts w:ascii="Arial" w:hAnsi="Arial" w:cs="Arial"/>
          <w:color w:val="000000"/>
          <w:sz w:val="20"/>
          <w:szCs w:val="20"/>
        </w:rPr>
        <w:tab/>
      </w:r>
      <w:r w:rsidR="00057053" w:rsidRPr="003E2C61">
        <w:rPr>
          <w:rFonts w:ascii="Arial" w:hAnsi="Arial" w:cs="Arial"/>
          <w:color w:val="000000"/>
          <w:sz w:val="20"/>
          <w:szCs w:val="20"/>
        </w:rPr>
        <w:tab/>
      </w:r>
      <w:r w:rsidR="00057053" w:rsidRPr="003E2C61">
        <w:rPr>
          <w:rFonts w:ascii="Arial" w:hAnsi="Arial" w:cs="Arial"/>
          <w:color w:val="000000"/>
          <w:sz w:val="20"/>
          <w:szCs w:val="20"/>
        </w:rPr>
        <w:tab/>
      </w:r>
      <w:r w:rsidRPr="003E2C61">
        <w:rPr>
          <w:rFonts w:ascii="Arial" w:hAnsi="Arial" w:cs="Arial"/>
          <w:color w:val="000000"/>
          <w:sz w:val="20"/>
          <w:szCs w:val="20"/>
        </w:rPr>
        <w:t>F-</w:t>
      </w:r>
      <w:proofErr w:type="gramStart"/>
      <w:r w:rsidRPr="003E2C61">
        <w:rPr>
          <w:rFonts w:ascii="Arial" w:hAnsi="Arial" w:cs="Arial"/>
          <w:color w:val="000000"/>
          <w:sz w:val="20"/>
          <w:szCs w:val="20"/>
        </w:rPr>
        <w:t>E ,</w:t>
      </w:r>
      <w:proofErr w:type="gramEnd"/>
      <w:r w:rsidRPr="003E2C61">
        <w:rPr>
          <w:rFonts w:ascii="Arial" w:hAnsi="Arial" w:cs="Arial"/>
          <w:color w:val="000000"/>
          <w:sz w:val="20"/>
          <w:szCs w:val="20"/>
        </w:rPr>
        <w:t xml:space="preserve"> S-E</w:t>
      </w:r>
    </w:p>
    <w:p w14:paraId="4E3F2832" w14:textId="77777777" w:rsidR="00057053" w:rsidRPr="003E2C61" w:rsidRDefault="00057053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7F5E000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14.7. Massengutbeförderung gemäß Anhang II des MARPOL-Übereinkommens und gemäß IBC-Code</w:t>
      </w:r>
    </w:p>
    <w:p w14:paraId="5E9F5809" w14:textId="77777777" w:rsidR="00057053" w:rsidRPr="004B67C5" w:rsidRDefault="00057053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2012AA9" w14:textId="77777777" w:rsidR="004B67C5" w:rsidRDefault="004B67C5" w:rsidP="00057053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Nein</w:t>
      </w:r>
    </w:p>
    <w:p w14:paraId="21CE639F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47F84D2A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1BB51E40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057053">
        <w:rPr>
          <w:rFonts w:ascii="Arial" w:hAnsi="Arial" w:cs="Arial"/>
          <w:b/>
          <w:bCs/>
          <w:color w:val="0000FF"/>
          <w:sz w:val="20"/>
          <w:szCs w:val="20"/>
        </w:rPr>
        <w:t>ABSCHNITT 15: Rechtsvorschriften</w:t>
      </w:r>
    </w:p>
    <w:p w14:paraId="0E563680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1C757749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15.1. Vorschriften zu Sicherheit, Gesundheits- und Umweltschutz/spezifische Rechtsvorschriften für den Stoff oder das Gemisch</w:t>
      </w:r>
    </w:p>
    <w:p w14:paraId="616DFA7E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32F9ED8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RL 98/24/EG (Schutz von Gesundheit und Sicherheit der Arbeitnehmer vor der Gefährdung durch chemische Arbeitsstoffe bei der Arbeit)</w:t>
      </w:r>
    </w:p>
    <w:p w14:paraId="64EDB3F6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RL 2000/39/EG (Arbeitsplatz-Richtgrenzwerte)</w:t>
      </w:r>
    </w:p>
    <w:p w14:paraId="0E1DC900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Verordnung (EG) Nr. 1907/2006 (REACH)</w:t>
      </w:r>
    </w:p>
    <w:p w14:paraId="27B4B64E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Verordnung (EG) Nr. 1272/2008 (CLP)</w:t>
      </w:r>
    </w:p>
    <w:p w14:paraId="5AC295BE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Verordnung (EG) Nr. 790/2009 (1. ATP CLP) und (EU) Nr. 758/2013</w:t>
      </w:r>
    </w:p>
    <w:p w14:paraId="75F777D5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Verordnung (EU) 2015/830</w:t>
      </w:r>
    </w:p>
    <w:p w14:paraId="31BD101B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Verordnung (EU) Nr. 286/2011 (2. ATP CLP)</w:t>
      </w:r>
    </w:p>
    <w:p w14:paraId="3D1F9AAD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Verordnung (EU) Nr. 618/2012 (3. ATP CLP)</w:t>
      </w:r>
    </w:p>
    <w:p w14:paraId="007DA18A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Verordnung (EU) Nr. 487/2013 (4. ATP CLP)</w:t>
      </w:r>
    </w:p>
    <w:p w14:paraId="6EAAD192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Verordnung (EU) Nr. 944/2013 (5. ATP CLP)</w:t>
      </w:r>
    </w:p>
    <w:p w14:paraId="2A36AED9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Verordnung (EU) Nr. 605/2014 (6. ATP CLP)</w:t>
      </w:r>
    </w:p>
    <w:p w14:paraId="0EDE93ED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BDD9D74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Beschränkungen zum Produkt oder zu den Inhaltsstoffen gemäß Anhang XVII der Verordnung (EG) 1907/2006 (REACH) und nachfolgenden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57053">
        <w:rPr>
          <w:rFonts w:ascii="Arial" w:hAnsi="Arial" w:cs="Arial"/>
          <w:color w:val="000000"/>
          <w:sz w:val="20"/>
          <w:szCs w:val="20"/>
        </w:rPr>
        <w:t>Änderungen:</w:t>
      </w:r>
    </w:p>
    <w:p w14:paraId="4FEE2103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D7560EE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Keine</w:t>
      </w:r>
    </w:p>
    <w:p w14:paraId="1B14796F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B834B3F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Wo möglich auf die folgenden Normen Bezug nehmen:</w:t>
      </w:r>
    </w:p>
    <w:p w14:paraId="76EAAB5E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3BD1C2D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EWG Richtlinie 2003/105/EEC ('Aktivitäten, bei denen es zu gefährlichen Unfällen kommen kann') und nachfolgende Ergänzungen.</w:t>
      </w:r>
    </w:p>
    <w:p w14:paraId="28EEBAE6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057053">
        <w:rPr>
          <w:rFonts w:ascii="Arial" w:hAnsi="Arial" w:cs="Arial"/>
          <w:color w:val="000000"/>
          <w:sz w:val="20"/>
          <w:szCs w:val="20"/>
          <w:lang w:val="en-US"/>
        </w:rPr>
        <w:t>Verordnung</w:t>
      </w:r>
      <w:proofErr w:type="spellEnd"/>
      <w:r w:rsidRPr="00057053">
        <w:rPr>
          <w:rFonts w:ascii="Arial" w:hAnsi="Arial" w:cs="Arial"/>
          <w:color w:val="000000"/>
          <w:sz w:val="20"/>
          <w:szCs w:val="20"/>
          <w:lang w:val="en-US"/>
        </w:rPr>
        <w:t xml:space="preserve"> (EG) Nr. 648/2004 (</w:t>
      </w:r>
      <w:proofErr w:type="spellStart"/>
      <w:r w:rsidRPr="00057053">
        <w:rPr>
          <w:rFonts w:ascii="Arial" w:hAnsi="Arial" w:cs="Arial"/>
          <w:color w:val="000000"/>
          <w:sz w:val="20"/>
          <w:szCs w:val="20"/>
          <w:lang w:val="en-US"/>
        </w:rPr>
        <w:t>Detergenzien</w:t>
      </w:r>
      <w:proofErr w:type="spellEnd"/>
      <w:r w:rsidRPr="00057053">
        <w:rPr>
          <w:rFonts w:ascii="Arial" w:hAnsi="Arial" w:cs="Arial"/>
          <w:color w:val="000000"/>
          <w:sz w:val="20"/>
          <w:szCs w:val="20"/>
          <w:lang w:val="en-US"/>
        </w:rPr>
        <w:t>).</w:t>
      </w:r>
    </w:p>
    <w:p w14:paraId="6984C725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57053">
        <w:rPr>
          <w:rFonts w:ascii="Arial" w:hAnsi="Arial" w:cs="Arial"/>
          <w:color w:val="000000"/>
          <w:sz w:val="20"/>
          <w:szCs w:val="20"/>
          <w:lang w:val="en-US"/>
        </w:rPr>
        <w:t xml:space="preserve">Council Directive 98/24/EC of 7 April 1998 on the protection of the health and safety of workers from the risks related to chemical </w:t>
      </w:r>
      <w:r w:rsidRPr="00057053">
        <w:rPr>
          <w:rFonts w:ascii="Arial" w:hAnsi="Arial" w:cs="Arial"/>
          <w:sz w:val="20"/>
          <w:szCs w:val="20"/>
          <w:lang w:val="en-US"/>
        </w:rPr>
        <w:t>agents at work.</w:t>
      </w:r>
    </w:p>
    <w:p w14:paraId="25D8BC1F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7053">
        <w:rPr>
          <w:rFonts w:ascii="Arial" w:hAnsi="Arial" w:cs="Arial"/>
          <w:sz w:val="20"/>
          <w:szCs w:val="20"/>
        </w:rPr>
        <w:t xml:space="preserve">WGK3 - Sehr wassergefährdend (Verwaltungsvorschrift wassergefährdende Stoffe; </w:t>
      </w:r>
      <w:proofErr w:type="spellStart"/>
      <w:r w:rsidRPr="00057053">
        <w:rPr>
          <w:rFonts w:ascii="Arial" w:hAnsi="Arial" w:cs="Arial"/>
          <w:sz w:val="20"/>
          <w:szCs w:val="20"/>
        </w:rPr>
        <w:t>VwVwS</w:t>
      </w:r>
      <w:proofErr w:type="spellEnd"/>
      <w:r w:rsidRPr="00057053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057053">
        <w:rPr>
          <w:rFonts w:ascii="Arial" w:hAnsi="Arial" w:cs="Arial"/>
          <w:sz w:val="20"/>
          <w:szCs w:val="20"/>
        </w:rPr>
        <w:t>of</w:t>
      </w:r>
      <w:proofErr w:type="spellEnd"/>
      <w:r w:rsidRPr="00057053">
        <w:rPr>
          <w:rFonts w:ascii="Arial" w:hAnsi="Arial" w:cs="Arial"/>
          <w:sz w:val="20"/>
          <w:szCs w:val="20"/>
        </w:rPr>
        <w:t xml:space="preserve"> 17 May, 1999</w:t>
      </w:r>
    </w:p>
    <w:p w14:paraId="06B5B766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7053">
        <w:rPr>
          <w:rFonts w:ascii="Arial" w:hAnsi="Arial" w:cs="Arial"/>
          <w:sz w:val="20"/>
          <w:szCs w:val="20"/>
        </w:rPr>
        <w:t>Ministerialerlass 1999/13/EG (FOV Richtlinie)</w:t>
      </w:r>
    </w:p>
    <w:p w14:paraId="04497822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057053">
        <w:rPr>
          <w:rFonts w:ascii="Arial" w:hAnsi="Arial" w:cs="Arial"/>
          <w:sz w:val="20"/>
          <w:szCs w:val="20"/>
        </w:rPr>
        <w:t>Directive</w:t>
      </w:r>
      <w:proofErr w:type="spellEnd"/>
      <w:r w:rsidRPr="00057053">
        <w:rPr>
          <w:rFonts w:ascii="Arial" w:hAnsi="Arial" w:cs="Arial"/>
          <w:sz w:val="20"/>
          <w:szCs w:val="20"/>
        </w:rPr>
        <w:t xml:space="preserve"> 1999/13/CE</w:t>
      </w:r>
    </w:p>
    <w:p w14:paraId="11926D0C" w14:textId="433E15E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7053">
        <w:rPr>
          <w:rFonts w:ascii="Arial" w:hAnsi="Arial" w:cs="Arial"/>
          <w:sz w:val="20"/>
          <w:szCs w:val="20"/>
        </w:rPr>
        <w:t xml:space="preserve">Flüchtige organische Verbindungen gesamt (typischer Wert): </w:t>
      </w:r>
      <w:r w:rsidR="00C8003A">
        <w:rPr>
          <w:rFonts w:ascii="Arial" w:hAnsi="Arial" w:cs="Arial"/>
          <w:sz w:val="20"/>
          <w:szCs w:val="20"/>
        </w:rPr>
        <w:t>40</w:t>
      </w:r>
      <w:r w:rsidRPr="00057053">
        <w:rPr>
          <w:rFonts w:ascii="Arial" w:hAnsi="Arial" w:cs="Arial"/>
          <w:sz w:val="20"/>
          <w:szCs w:val="20"/>
        </w:rPr>
        <w:t xml:space="preserve"> %</w:t>
      </w:r>
    </w:p>
    <w:p w14:paraId="507952E1" w14:textId="6B52E7F2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7053">
        <w:rPr>
          <w:rFonts w:ascii="Arial" w:hAnsi="Arial" w:cs="Arial"/>
          <w:sz w:val="20"/>
          <w:szCs w:val="20"/>
        </w:rPr>
        <w:t xml:space="preserve">Gesamtgehalt an organischem Kohlenstoff (typischer Wert): </w:t>
      </w:r>
      <w:r w:rsidR="00DB3813">
        <w:rPr>
          <w:rFonts w:ascii="Arial" w:hAnsi="Arial" w:cs="Arial"/>
          <w:sz w:val="20"/>
          <w:szCs w:val="20"/>
        </w:rPr>
        <w:t>80-85</w:t>
      </w:r>
      <w:r w:rsidRPr="00057053">
        <w:rPr>
          <w:rFonts w:ascii="Arial" w:hAnsi="Arial" w:cs="Arial"/>
          <w:sz w:val="20"/>
          <w:szCs w:val="20"/>
        </w:rPr>
        <w:t xml:space="preserve"> %</w:t>
      </w:r>
    </w:p>
    <w:p w14:paraId="52C99529" w14:textId="15DC3EF4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7053">
        <w:rPr>
          <w:rFonts w:ascii="Arial" w:hAnsi="Arial" w:cs="Arial"/>
          <w:sz w:val="20"/>
          <w:szCs w:val="20"/>
        </w:rPr>
        <w:t xml:space="preserve">Trockenrückstand </w:t>
      </w:r>
      <w:proofErr w:type="gramStart"/>
      <w:r w:rsidRPr="00057053">
        <w:rPr>
          <w:rFonts w:ascii="Arial" w:hAnsi="Arial" w:cs="Arial"/>
          <w:sz w:val="20"/>
          <w:szCs w:val="20"/>
        </w:rPr>
        <w:t>gesamt :</w:t>
      </w:r>
      <w:proofErr w:type="gramEnd"/>
      <w:r w:rsidRPr="00057053">
        <w:rPr>
          <w:rFonts w:ascii="Arial" w:hAnsi="Arial" w:cs="Arial"/>
          <w:sz w:val="20"/>
          <w:szCs w:val="20"/>
        </w:rPr>
        <w:t xml:space="preserve"> </w:t>
      </w:r>
      <w:r w:rsidR="00DB3813">
        <w:rPr>
          <w:rFonts w:ascii="Arial" w:hAnsi="Arial" w:cs="Arial"/>
          <w:sz w:val="20"/>
          <w:szCs w:val="20"/>
        </w:rPr>
        <w:t>55-60</w:t>
      </w:r>
      <w:r w:rsidRPr="00057053">
        <w:rPr>
          <w:rFonts w:ascii="Arial" w:hAnsi="Arial" w:cs="Arial"/>
          <w:sz w:val="20"/>
          <w:szCs w:val="20"/>
        </w:rPr>
        <w:t xml:space="preserve"> %</w:t>
      </w:r>
    </w:p>
    <w:p w14:paraId="1A6C35C4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4575AF2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7053">
        <w:rPr>
          <w:rFonts w:ascii="Arial" w:hAnsi="Arial" w:cs="Arial"/>
          <w:sz w:val="20"/>
          <w:szCs w:val="20"/>
        </w:rPr>
        <w:t>15.2. Stoffsicherheitsbeurteilung</w:t>
      </w:r>
    </w:p>
    <w:p w14:paraId="6648DF56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4ACD5E3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7053">
        <w:rPr>
          <w:rFonts w:ascii="Arial" w:hAnsi="Arial" w:cs="Arial"/>
          <w:sz w:val="20"/>
          <w:szCs w:val="20"/>
        </w:rPr>
        <w:t>Nein</w:t>
      </w:r>
    </w:p>
    <w:p w14:paraId="459631AB" w14:textId="77777777" w:rsidR="00057053" w:rsidRPr="0005239A" w:rsidRDefault="00057053" w:rsidP="00057053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DFC3C8C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057053">
        <w:rPr>
          <w:rFonts w:ascii="Arial" w:hAnsi="Arial" w:cs="Arial"/>
          <w:b/>
          <w:bCs/>
          <w:color w:val="0000FF"/>
          <w:sz w:val="20"/>
          <w:szCs w:val="20"/>
        </w:rPr>
        <w:t>ABSCHNITT 16: Sonstige Angaben</w:t>
      </w:r>
    </w:p>
    <w:p w14:paraId="40AB8F04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109A6339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Text der Sätze aus Punkt 3:</w:t>
      </w:r>
    </w:p>
    <w:p w14:paraId="0DDD4239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C42473D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H226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Flüssigkeit und Dampf entzündbar.</w:t>
      </w:r>
    </w:p>
    <w:p w14:paraId="15B3FAC1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H361d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vermutlich das Kind im Mutterleib schädigen.</w:t>
      </w:r>
    </w:p>
    <w:p w14:paraId="34A780E0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H332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Gesundheitsschädlich bei Einatmen.</w:t>
      </w:r>
    </w:p>
    <w:p w14:paraId="1907E526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H372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Schädigt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die Organe bei längerer oder wiederholter Exposition.</w:t>
      </w:r>
    </w:p>
    <w:p w14:paraId="5EEE9920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H315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Verursacht Hautreizungen.</w:t>
      </w:r>
    </w:p>
    <w:p w14:paraId="027554EB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H319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Verursacht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schwere Augenreizung.</w:t>
      </w:r>
    </w:p>
    <w:p w14:paraId="6A476B3F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H361f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vermutlich die Fruchtbarkeit beeinträchtigen.</w:t>
      </w:r>
    </w:p>
    <w:p w14:paraId="50EA52B7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H400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Sehr giftig für Wasserorganismen.</w:t>
      </w:r>
    </w:p>
    <w:p w14:paraId="48740681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H317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allergische Hautreaktionen verursachen.</w:t>
      </w:r>
    </w:p>
    <w:p w14:paraId="262A5C68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H412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Schädlich für Wasserorganismen, mit langfristiger Wirkung.</w:t>
      </w:r>
    </w:p>
    <w:p w14:paraId="4227B794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H225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Flüssigkeit und Dampf leicht entzündbar.</w:t>
      </w:r>
    </w:p>
    <w:p w14:paraId="08BA92A5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H336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Kann Schläfrigkeit und Benommenheit verursachen.</w:t>
      </w:r>
    </w:p>
    <w:p w14:paraId="78986A4D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EUH066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Wiederholter Kontakt kann zu spröder oder rissiger Haut führen.</w:t>
      </w:r>
    </w:p>
    <w:p w14:paraId="0A330C2E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H304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bei Verschlucken und Eindringen in die Atemwege tödlich sein.</w:t>
      </w:r>
    </w:p>
    <w:p w14:paraId="6366EC18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H335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die Atemwege reizen.</w:t>
      </w:r>
    </w:p>
    <w:p w14:paraId="7E7C3513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H373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die Organe schädigen bei längerer oder wiederholter Exposition.</w:t>
      </w:r>
    </w:p>
    <w:p w14:paraId="7E0D0A5E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H312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Gesundheitsschädlich bei Hautkontakt.</w:t>
      </w:r>
    </w:p>
    <w:p w14:paraId="5553AAB6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H351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vermutlich Krebs erzeugen.</w:t>
      </w:r>
    </w:p>
    <w:p w14:paraId="05C8FDFC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H341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vermutlich genetische Defekte verursachen.</w:t>
      </w:r>
    </w:p>
    <w:p w14:paraId="0AC45550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H318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Verursacht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schwere Augenschäden.</w:t>
      </w:r>
    </w:p>
    <w:p w14:paraId="29098A59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H302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Gesundheitsschädlich bei Verschlucken.</w:t>
      </w:r>
    </w:p>
    <w:p w14:paraId="6E0D3938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C58FEBA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Modifikation der </w:t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Paragraphen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seit der letzten Revision:</w:t>
      </w:r>
    </w:p>
    <w:p w14:paraId="4D30CFE8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4A4C2CF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2. MÖGLICHE GEFAHREN</w:t>
      </w:r>
    </w:p>
    <w:p w14:paraId="1FD25CA3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438A018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ABSCHNITT 3: Zusammensetzung/Angaben zu Bestandteilen</w:t>
      </w:r>
    </w:p>
    <w:p w14:paraId="6B62B27A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ABSCHNITT 5: Maßnahmen zur Brandbekämpfung</w:t>
      </w:r>
    </w:p>
    <w:p w14:paraId="4465D287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ABSCHNITT 7: Handhabung und Lagerung</w:t>
      </w:r>
    </w:p>
    <w:p w14:paraId="114A6794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ABSCHNITT 15: Rechtsvorschriften</w:t>
      </w:r>
    </w:p>
    <w:p w14:paraId="6E7446C5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DCBE1A2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Diese Unterlagen wurden von einem Fachmann mit entsprechender Ausbildung abgefasst.</w:t>
      </w:r>
    </w:p>
    <w:p w14:paraId="119BFD9D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057053">
        <w:rPr>
          <w:rFonts w:ascii="Arial" w:hAnsi="Arial" w:cs="Arial"/>
          <w:color w:val="000000"/>
          <w:sz w:val="20"/>
          <w:szCs w:val="20"/>
          <w:lang w:val="en-US"/>
        </w:rPr>
        <w:t>Hauptsächliche</w:t>
      </w:r>
      <w:proofErr w:type="spellEnd"/>
      <w:r w:rsidRPr="0005705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57053">
        <w:rPr>
          <w:rFonts w:ascii="Arial" w:hAnsi="Arial" w:cs="Arial"/>
          <w:color w:val="000000"/>
          <w:sz w:val="20"/>
          <w:szCs w:val="20"/>
          <w:lang w:val="en-US"/>
        </w:rPr>
        <w:t>Literatur</w:t>
      </w:r>
      <w:proofErr w:type="spellEnd"/>
      <w:r w:rsidRPr="00057053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14:paraId="285D29F5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057053">
        <w:rPr>
          <w:rFonts w:ascii="Arial" w:hAnsi="Arial" w:cs="Arial"/>
          <w:color w:val="000000"/>
          <w:sz w:val="20"/>
          <w:szCs w:val="20"/>
          <w:lang w:val="en-US"/>
        </w:rPr>
        <w:t>ECDIN - Environmental Chemicals Data and Information Network - Joint Research Centre, Commission of the European Communities</w:t>
      </w:r>
    </w:p>
    <w:p w14:paraId="191F5F24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057053">
        <w:rPr>
          <w:rFonts w:ascii="Arial" w:hAnsi="Arial" w:cs="Arial"/>
          <w:color w:val="000000"/>
          <w:sz w:val="20"/>
          <w:szCs w:val="20"/>
          <w:lang w:val="en-US"/>
        </w:rPr>
        <w:t xml:space="preserve">SAX's DANGEROUS PROPERTIES OF INDUSTRIAL MATERIALS - Eight Edition - Van Nostrand </w:t>
      </w:r>
      <w:proofErr w:type="spellStart"/>
      <w:r w:rsidRPr="00057053">
        <w:rPr>
          <w:rFonts w:ascii="Arial" w:hAnsi="Arial" w:cs="Arial"/>
          <w:color w:val="000000"/>
          <w:sz w:val="20"/>
          <w:szCs w:val="20"/>
          <w:lang w:val="en-US"/>
        </w:rPr>
        <w:t>Reinold</w:t>
      </w:r>
      <w:proofErr w:type="spellEnd"/>
    </w:p>
    <w:p w14:paraId="6391B853" w14:textId="4558C02E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ACGIH - Threshold Limit Values - 2004 </w:t>
      </w:r>
      <w:r w:rsidR="007931CF">
        <w:rPr>
          <w:rFonts w:ascii="Arial" w:hAnsi="Arial" w:cs="Arial"/>
          <w:color w:val="000000"/>
          <w:sz w:val="20"/>
          <w:szCs w:val="20"/>
        </w:rPr>
        <w:t>E</w:t>
      </w:r>
      <w:r w:rsidRPr="00057053">
        <w:rPr>
          <w:rFonts w:ascii="Arial" w:hAnsi="Arial" w:cs="Arial"/>
          <w:color w:val="000000"/>
          <w:sz w:val="20"/>
          <w:szCs w:val="20"/>
        </w:rPr>
        <w:t>dition</w:t>
      </w:r>
    </w:p>
    <w:p w14:paraId="68593698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NUR FUER DEN GEWERBLICHEN VERWENDER.</w:t>
      </w:r>
    </w:p>
    <w:p w14:paraId="41905B62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Die vorstehenden Angaben stützen sich auf den heutigen Stand unserer Kenntnisse. Sie gelten nur für das angegebene Produkt und stellen</w:t>
      </w:r>
    </w:p>
    <w:p w14:paraId="5A0E833C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keine Zusicherung von Eigenschaften dar.</w:t>
      </w:r>
    </w:p>
    <w:p w14:paraId="79CD7D52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Es obliegt dem Anwender die Zuständigkeit und die Vollständigkeit dieser Angaben für seine spezifische Anwendung zu kontrollieren.</w:t>
      </w:r>
    </w:p>
    <w:p w14:paraId="5B4D9B8A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B54D493" w14:textId="43D3712D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ADR: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Europäisches Übereinkommen über die internationale Beförderung gefährlicher Güter auf der</w:t>
      </w:r>
      <w:r w:rsidR="007931C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57053">
        <w:rPr>
          <w:rFonts w:ascii="Arial" w:hAnsi="Arial" w:cs="Arial"/>
          <w:color w:val="000000"/>
          <w:sz w:val="20"/>
          <w:szCs w:val="20"/>
        </w:rPr>
        <w:t>Straße.</w:t>
      </w:r>
    </w:p>
    <w:p w14:paraId="106BE445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057053">
        <w:rPr>
          <w:rFonts w:ascii="Arial" w:hAnsi="Arial" w:cs="Arial"/>
          <w:color w:val="000000"/>
          <w:sz w:val="20"/>
          <w:szCs w:val="20"/>
          <w:lang w:val="en-US"/>
        </w:rPr>
        <w:t xml:space="preserve">CAS: 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057053">
        <w:rPr>
          <w:rFonts w:ascii="Arial" w:hAnsi="Arial" w:cs="Arial"/>
          <w:color w:val="000000"/>
          <w:sz w:val="20"/>
          <w:szCs w:val="20"/>
          <w:lang w:val="en-US"/>
        </w:rPr>
        <w:t>Chemical Abstracts Service (</w:t>
      </w:r>
      <w:proofErr w:type="spellStart"/>
      <w:r w:rsidRPr="00057053">
        <w:rPr>
          <w:rFonts w:ascii="Arial" w:hAnsi="Arial" w:cs="Arial"/>
          <w:color w:val="000000"/>
          <w:sz w:val="20"/>
          <w:szCs w:val="20"/>
          <w:lang w:val="en-US"/>
        </w:rPr>
        <w:t>Abteilung</w:t>
      </w:r>
      <w:proofErr w:type="spellEnd"/>
      <w:r w:rsidRPr="00057053">
        <w:rPr>
          <w:rFonts w:ascii="Arial" w:hAnsi="Arial" w:cs="Arial"/>
          <w:color w:val="000000"/>
          <w:sz w:val="20"/>
          <w:szCs w:val="20"/>
          <w:lang w:val="en-US"/>
        </w:rPr>
        <w:t xml:space="preserve"> der American Chemical Society).</w:t>
      </w:r>
    </w:p>
    <w:p w14:paraId="1620EEE1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CLP: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Einstufung, Verpackung und Kennzeichnung</w:t>
      </w:r>
    </w:p>
    <w:p w14:paraId="0878EFFB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DNEL: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Abgeleitetes Null-Effekt-Niveau (DNEL)</w:t>
      </w:r>
    </w:p>
    <w:p w14:paraId="229B132D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057053">
        <w:rPr>
          <w:rFonts w:ascii="Arial" w:hAnsi="Arial" w:cs="Arial"/>
          <w:color w:val="000000"/>
          <w:sz w:val="20"/>
          <w:szCs w:val="20"/>
          <w:lang w:val="en-US"/>
        </w:rPr>
        <w:t xml:space="preserve">EINECS: 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057053">
        <w:rPr>
          <w:rFonts w:ascii="Arial" w:hAnsi="Arial" w:cs="Arial"/>
          <w:color w:val="000000"/>
          <w:sz w:val="20"/>
          <w:szCs w:val="20"/>
          <w:lang w:val="en-US"/>
        </w:rPr>
        <w:t>European Inventory of Existing Commercial Chemical Substances.</w:t>
      </w:r>
    </w:p>
    <w:p w14:paraId="323B7885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057053">
        <w:rPr>
          <w:rFonts w:ascii="Arial" w:hAnsi="Arial" w:cs="Arial"/>
          <w:color w:val="000000"/>
          <w:sz w:val="20"/>
          <w:szCs w:val="20"/>
        </w:rPr>
        <w:t>GefStoffVO</w:t>
      </w:r>
      <w:proofErr w:type="spellEnd"/>
      <w:r w:rsidRPr="00057053"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Gefahrstoffverordnung.</w:t>
      </w:r>
    </w:p>
    <w:p w14:paraId="2E8B519F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GHS: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Global harmonisiertes System zur Einstufung und Kennzeichnung von Chemikalien.</w:t>
      </w:r>
    </w:p>
    <w:p w14:paraId="31C7094B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IATA: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Internationale Flug-Transport-Vereinigung (IATA).</w:t>
      </w:r>
    </w:p>
    <w:p w14:paraId="3BBC557E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IATA-DGR: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Vorschriften über die Beförderung gefährlicher Güter der Internationalen Flug-Transport-Vereinigung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57053">
        <w:rPr>
          <w:rFonts w:ascii="Arial" w:hAnsi="Arial" w:cs="Arial"/>
          <w:color w:val="000000"/>
          <w:sz w:val="20"/>
          <w:szCs w:val="20"/>
        </w:rPr>
        <w:t>(IATA).</w:t>
      </w:r>
    </w:p>
    <w:p w14:paraId="4328950B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lastRenderedPageBreak/>
        <w:t xml:space="preserve">ICAO: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Internationale Zivilluftfahrtorganisation (ICAO)</w:t>
      </w:r>
    </w:p>
    <w:p w14:paraId="06EAB1C6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ICAO-TI: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Technische Anleitungen der Internationalen Zivilluftfahrtorganisation (ICAO)</w:t>
      </w:r>
    </w:p>
    <w:p w14:paraId="74B2A62F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IMDG: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Gefahrgutkennzeichnung für gefährliche Güter im Seeschiffsverkehr (IMDG-Code)</w:t>
      </w:r>
    </w:p>
    <w:p w14:paraId="049E4E31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INCI: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Internationale Nomenklatur für kosmetische Inhaltsstoffe (INCI)</w:t>
      </w:r>
    </w:p>
    <w:p w14:paraId="482A5DAE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057053">
        <w:rPr>
          <w:rFonts w:ascii="Arial" w:hAnsi="Arial" w:cs="Arial"/>
          <w:color w:val="000000"/>
          <w:sz w:val="20"/>
          <w:szCs w:val="20"/>
        </w:rPr>
        <w:t>KSt</w:t>
      </w:r>
      <w:proofErr w:type="spellEnd"/>
      <w:r w:rsidRPr="00057053"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Explosions-Koeffizient.</w:t>
      </w:r>
    </w:p>
    <w:p w14:paraId="1C58B8AD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LC50: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Letale Konzentration für 50 Prozent der Testpopulation.</w:t>
      </w:r>
    </w:p>
    <w:p w14:paraId="12B17DDF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LD50: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Letale Dosis für 50 Prozent der Testpopulation.</w:t>
      </w:r>
    </w:p>
    <w:p w14:paraId="3E369041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LTE: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Langfristige Exposition.</w:t>
      </w:r>
    </w:p>
    <w:p w14:paraId="4E48E8F3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PNEC: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Abgeschätzte Nicht-Effekt-Konzentration (PNEC-Wert)</w:t>
      </w:r>
    </w:p>
    <w:p w14:paraId="5E1D9C39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RID: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Regelung zur internationalen Beförderung gefährlicher Güter im Schienenverkehr</w:t>
      </w:r>
    </w:p>
    <w:p w14:paraId="30FF30C4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STE: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Kurzzeitexposition.</w:t>
      </w:r>
    </w:p>
    <w:p w14:paraId="48FEA4EC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STEL: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Grenzwert für Kurzzeitexposition</w:t>
      </w:r>
    </w:p>
    <w:p w14:paraId="6C09C3C7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STOT: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Zielorgan-Toxizität</w:t>
      </w:r>
    </w:p>
    <w:p w14:paraId="4DA8A586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TLV: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Arbeitsplatzgrenzwert</w:t>
      </w:r>
    </w:p>
    <w:p w14:paraId="59E2E5D0" w14:textId="191E8B51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TWATLV: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Schwellenwert für zeitgemittel</w:t>
      </w:r>
      <w:r w:rsidR="007931CF">
        <w:rPr>
          <w:rFonts w:ascii="Arial" w:hAnsi="Arial" w:cs="Arial"/>
          <w:color w:val="000000"/>
          <w:sz w:val="20"/>
          <w:szCs w:val="20"/>
        </w:rPr>
        <w:t>t</w:t>
      </w:r>
      <w:r w:rsidRPr="00057053">
        <w:rPr>
          <w:rFonts w:ascii="Arial" w:hAnsi="Arial" w:cs="Arial"/>
          <w:color w:val="000000"/>
          <w:sz w:val="20"/>
          <w:szCs w:val="20"/>
        </w:rPr>
        <w:t>en 8-Stunden-Zag (TWATLV) (ACGIH-Standard).</w:t>
      </w:r>
    </w:p>
    <w:p w14:paraId="7097381F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WGK: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Wassergefährdungsklasse</w:t>
      </w:r>
    </w:p>
    <w:p w14:paraId="7450FC1D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N.A.: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N.A.</w:t>
      </w:r>
    </w:p>
    <w:p w14:paraId="61E4D24E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N.D.:</w:t>
      </w:r>
    </w:p>
    <w:sectPr w:rsidR="00057053" w:rsidRPr="00057053">
      <w:headerReference w:type="default" r:id="rId15"/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82775" w14:textId="77777777" w:rsidR="003E2C61" w:rsidRDefault="003E2C61" w:rsidP="00D921FA">
      <w:pPr>
        <w:spacing w:after="0" w:line="240" w:lineRule="auto"/>
      </w:pPr>
      <w:r>
        <w:separator/>
      </w:r>
    </w:p>
  </w:endnote>
  <w:endnote w:type="continuationSeparator" w:id="0">
    <w:p w14:paraId="38542F78" w14:textId="77777777" w:rsidR="003E2C61" w:rsidRDefault="003E2C61" w:rsidP="00D92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7492" w14:textId="77777777" w:rsidR="003E2C61" w:rsidRDefault="003E2C61">
    <w:pPr>
      <w:pStyle w:val="Fuzeile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7594DF" wp14:editId="59DD05C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ec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AD7A3B4" id="Rechteck 452" o:spid="_x0000_s1026" style="position:absolute;margin-left:0;margin-top:0;width:579.9pt;height:750.3pt;z-index:25166028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CLZgQmnAgAAtg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S.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 w:rsidRPr="00057053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16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54CA8" w14:textId="77777777" w:rsidR="003E2C61" w:rsidRDefault="003E2C61" w:rsidP="00D921FA">
      <w:pPr>
        <w:spacing w:after="0" w:line="240" w:lineRule="auto"/>
      </w:pPr>
      <w:r>
        <w:separator/>
      </w:r>
    </w:p>
  </w:footnote>
  <w:footnote w:type="continuationSeparator" w:id="0">
    <w:p w14:paraId="234430BD" w14:textId="77777777" w:rsidR="003E2C61" w:rsidRDefault="003E2C61" w:rsidP="00D92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4ABDF" w14:textId="77777777" w:rsidR="003E2C61" w:rsidRDefault="003E2C61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8CE93E" wp14:editId="67DCE622">
          <wp:simplePos x="0" y="0"/>
          <wp:positionH relativeFrom="column">
            <wp:posOffset>4015105</wp:posOffset>
          </wp:positionH>
          <wp:positionV relativeFrom="paragraph">
            <wp:posOffset>-373380</wp:posOffset>
          </wp:positionV>
          <wp:extent cx="1990725" cy="808990"/>
          <wp:effectExtent l="0" t="0" r="952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 innotec Allstedt  140423-1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8807" cy="820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Sicherheitsdatenblatt</w:t>
    </w:r>
  </w:p>
  <w:p w14:paraId="45ACB72C" w14:textId="06BF212B" w:rsidR="003E2C61" w:rsidRDefault="00674E10">
    <w:pPr>
      <w:pStyle w:val="Kopfzeile"/>
    </w:pPr>
    <w:proofErr w:type="spellStart"/>
    <w:r>
      <w:t>Andrepol</w:t>
    </w:r>
    <w:proofErr w:type="spellEnd"/>
    <w:r w:rsidR="003E2C61">
      <w:t xml:space="preserve"> </w:t>
    </w:r>
    <w:proofErr w:type="spellStart"/>
    <w:r w:rsidR="00F731D8">
      <w:t>Topcoat</w:t>
    </w:r>
    <w:proofErr w:type="spellEnd"/>
    <w:r w:rsidR="00212B0F">
      <w:t xml:space="preserve"> P 18</w:t>
    </w:r>
  </w:p>
  <w:p w14:paraId="734D9029" w14:textId="4534EB49" w:rsidR="004037AE" w:rsidRDefault="00212B0F">
    <w:pPr>
      <w:pStyle w:val="Kopfzeile"/>
    </w:pPr>
    <w:r>
      <w:t>16</w:t>
    </w:r>
    <w:r w:rsidR="004037AE">
      <w:t>.</w:t>
    </w:r>
    <w:r>
      <w:t>10</w:t>
    </w:r>
    <w:r w:rsidR="004037AE">
      <w:t>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FA"/>
    <w:rsid w:val="0005239A"/>
    <w:rsid w:val="00057053"/>
    <w:rsid w:val="001C7255"/>
    <w:rsid w:val="00212B0F"/>
    <w:rsid w:val="003E2C61"/>
    <w:rsid w:val="003F5448"/>
    <w:rsid w:val="004037AE"/>
    <w:rsid w:val="004B67C5"/>
    <w:rsid w:val="005810AC"/>
    <w:rsid w:val="00674E10"/>
    <w:rsid w:val="007931CF"/>
    <w:rsid w:val="00C8003A"/>
    <w:rsid w:val="00CA15FD"/>
    <w:rsid w:val="00D921FA"/>
    <w:rsid w:val="00DB3813"/>
    <w:rsid w:val="00F731D8"/>
    <w:rsid w:val="00F7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87C85"/>
  <w15:chartTrackingRefBased/>
  <w15:docId w15:val="{8A62AFE4-6A43-4D1E-A8E4-717BFE0E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92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21FA"/>
  </w:style>
  <w:style w:type="paragraph" w:styleId="Fuzeile">
    <w:name w:val="footer"/>
    <w:basedOn w:val="Standard"/>
    <w:link w:val="FuzeileZchn"/>
    <w:uiPriority w:val="99"/>
    <w:unhideWhenUsed/>
    <w:rsid w:val="00D92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21FA"/>
  </w:style>
  <w:style w:type="paragraph" w:styleId="Listenabsatz">
    <w:name w:val="List Paragraph"/>
    <w:basedOn w:val="Standard"/>
    <w:uiPriority w:val="34"/>
    <w:qFormat/>
    <w:rsid w:val="003F5448"/>
    <w:pPr>
      <w:ind w:left="720"/>
      <w:contextualSpacing/>
    </w:pPr>
  </w:style>
  <w:style w:type="paragraph" w:styleId="KeinLeerraum">
    <w:name w:val="No Spacing"/>
    <w:uiPriority w:val="1"/>
    <w:qFormat/>
    <w:rsid w:val="00CA15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11D7D-9822-4F1A-AE8B-16E74A6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3001</Words>
  <Characters>18908</Characters>
  <Application>Microsoft Office Word</Application>
  <DocSecurity>0</DocSecurity>
  <Lines>157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Kammler</dc:creator>
  <cp:keywords/>
  <dc:description/>
  <cp:lastModifiedBy>Reinhard Grünewald</cp:lastModifiedBy>
  <cp:revision>2</cp:revision>
  <dcterms:created xsi:type="dcterms:W3CDTF">2023-02-16T10:32:00Z</dcterms:created>
  <dcterms:modified xsi:type="dcterms:W3CDTF">2023-02-16T10:32:00Z</dcterms:modified>
</cp:coreProperties>
</file>